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A6729A" w:rsidP="007571B7">
      <w:pPr>
        <w:jc w:val="center"/>
        <w:rPr>
          <w:rFonts w:ascii="Cambria" w:hAnsi="Cambria"/>
          <w:b/>
          <w:sz w:val="32"/>
          <w:szCs w:val="32"/>
          <w:lang w:val="en-GB"/>
        </w:rPr>
      </w:pPr>
      <w:r w:rsidRPr="00D01BFE">
        <w:rPr>
          <w:rFonts w:ascii="Cambria" w:hAnsi="Cambria"/>
          <w:b/>
          <w:sz w:val="32"/>
          <w:szCs w:val="32"/>
          <w:lang w:val="en-GB"/>
        </w:rPr>
        <w:t xml:space="preserve">Reference guide for </w:t>
      </w:r>
    </w:p>
    <w:p w:rsidR="007571B7" w:rsidRPr="00D01BFE" w:rsidRDefault="00A6729A" w:rsidP="007571B7">
      <w:pPr>
        <w:jc w:val="center"/>
        <w:rPr>
          <w:rFonts w:ascii="Cambria" w:hAnsi="Cambria"/>
          <w:b/>
          <w:sz w:val="32"/>
          <w:szCs w:val="32"/>
          <w:lang w:val="en-GB"/>
        </w:rPr>
      </w:pPr>
      <w:r w:rsidRPr="00D01BFE">
        <w:rPr>
          <w:rFonts w:ascii="Cambria" w:hAnsi="Cambria"/>
          <w:b/>
          <w:sz w:val="32"/>
          <w:szCs w:val="32"/>
          <w:lang w:val="en-GB"/>
        </w:rPr>
        <w:t>Reference Value Advisor</w:t>
      </w:r>
      <w:r w:rsidR="0026374A">
        <w:rPr>
          <w:rFonts w:ascii="Cambria" w:hAnsi="Cambria"/>
          <w:b/>
          <w:sz w:val="32"/>
          <w:szCs w:val="32"/>
          <w:lang w:val="en-GB"/>
        </w:rPr>
        <w:t xml:space="preserve"> v2.0</w:t>
      </w: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7571B7" w:rsidP="007571B7">
      <w:pPr>
        <w:jc w:val="center"/>
        <w:rPr>
          <w:rFonts w:ascii="Cambria" w:hAnsi="Cambria"/>
          <w:b/>
          <w:sz w:val="32"/>
          <w:szCs w:val="32"/>
          <w:lang w:val="en-GB"/>
        </w:rPr>
      </w:pPr>
    </w:p>
    <w:p w:rsidR="007571B7" w:rsidRPr="00D01BFE" w:rsidRDefault="0002546D" w:rsidP="007571B7">
      <w:pPr>
        <w:rPr>
          <w:rFonts w:ascii="Cambria" w:hAnsi="Cambria"/>
          <w:b/>
          <w:sz w:val="32"/>
          <w:szCs w:val="32"/>
          <w:lang w:val="en-GB"/>
        </w:rPr>
      </w:pPr>
      <w:r>
        <w:rPr>
          <w:rFonts w:ascii="Cambria" w:hAnsi="Cambria"/>
          <w:b/>
          <w:noProof/>
          <w:sz w:val="32"/>
          <w:szCs w:val="32"/>
        </w:rPr>
        <w:drawing>
          <wp:inline distT="0" distB="0" distL="0" distR="0">
            <wp:extent cx="1533525" cy="1073150"/>
            <wp:effectExtent l="0" t="0" r="9525" b="0"/>
            <wp:docPr id="1" name="Image 1" descr="env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v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073150"/>
                    </a:xfrm>
                    <a:prstGeom prst="rect">
                      <a:avLst/>
                    </a:prstGeom>
                    <a:noFill/>
                    <a:ln>
                      <a:noFill/>
                    </a:ln>
                  </pic:spPr>
                </pic:pic>
              </a:graphicData>
            </a:graphic>
          </wp:inline>
        </w:drawing>
      </w:r>
      <w:r w:rsidR="00C50586">
        <w:rPr>
          <w:rFonts w:ascii="Cambria" w:hAnsi="Cambria"/>
          <w:b/>
          <w:sz w:val="32"/>
          <w:szCs w:val="32"/>
          <w:lang w:val="en-GB"/>
        </w:rPr>
        <w:tab/>
      </w:r>
      <w:r w:rsidR="00C50586">
        <w:rPr>
          <w:rFonts w:ascii="Cambria" w:hAnsi="Cambria"/>
          <w:b/>
          <w:sz w:val="32"/>
          <w:szCs w:val="32"/>
          <w:lang w:val="en-GB"/>
        </w:rPr>
        <w:tab/>
      </w:r>
      <w:r w:rsidR="00C50586">
        <w:rPr>
          <w:rFonts w:ascii="Cambria" w:hAnsi="Cambria"/>
          <w:b/>
          <w:sz w:val="32"/>
          <w:szCs w:val="32"/>
          <w:lang w:val="en-GB"/>
        </w:rPr>
        <w:tab/>
      </w:r>
      <w:r w:rsidR="00C50586">
        <w:rPr>
          <w:rFonts w:ascii="Cambria" w:hAnsi="Cambria"/>
          <w:b/>
          <w:sz w:val="32"/>
          <w:szCs w:val="32"/>
          <w:lang w:val="en-GB"/>
        </w:rPr>
        <w:tab/>
      </w:r>
      <w:r w:rsidR="00C50586">
        <w:rPr>
          <w:rFonts w:ascii="Cambria" w:hAnsi="Cambria"/>
          <w:b/>
          <w:sz w:val="32"/>
          <w:szCs w:val="32"/>
          <w:lang w:val="en-GB"/>
        </w:rPr>
        <w:tab/>
      </w:r>
      <w:r w:rsidR="00C50586">
        <w:rPr>
          <w:rFonts w:ascii="Cambria" w:hAnsi="Cambria"/>
          <w:b/>
          <w:sz w:val="32"/>
          <w:szCs w:val="32"/>
          <w:lang w:val="en-GB"/>
        </w:rPr>
        <w:tab/>
      </w:r>
      <w:r w:rsidR="0026374A">
        <w:rPr>
          <w:rFonts w:ascii="Cambria" w:hAnsi="Cambria"/>
          <w:b/>
          <w:sz w:val="32"/>
          <w:szCs w:val="32"/>
          <w:lang w:val="en-GB"/>
        </w:rPr>
        <w:t>November</w:t>
      </w:r>
      <w:r w:rsidR="005D6821">
        <w:rPr>
          <w:rFonts w:ascii="Cambria" w:hAnsi="Cambria"/>
          <w:b/>
          <w:sz w:val="32"/>
          <w:szCs w:val="32"/>
          <w:lang w:val="en-GB"/>
        </w:rPr>
        <w:t xml:space="preserve"> 201</w:t>
      </w:r>
      <w:r w:rsidR="0026374A">
        <w:rPr>
          <w:rFonts w:ascii="Cambria" w:hAnsi="Cambria"/>
          <w:b/>
          <w:sz w:val="32"/>
          <w:szCs w:val="32"/>
          <w:lang w:val="en-GB"/>
        </w:rPr>
        <w:t>1</w:t>
      </w:r>
    </w:p>
    <w:p w:rsidR="00963418" w:rsidRPr="00963418" w:rsidRDefault="007571B7" w:rsidP="007571B7">
      <w:pPr>
        <w:rPr>
          <w:lang w:val="en-GB"/>
        </w:rPr>
      </w:pPr>
      <w:r>
        <w:rPr>
          <w:lang w:val="en-GB"/>
        </w:rPr>
        <w:br w:type="page"/>
      </w:r>
    </w:p>
    <w:p w:rsidR="00963418" w:rsidRDefault="00963418" w:rsidP="00963418">
      <w:pPr>
        <w:rPr>
          <w:lang w:val="en-GB"/>
        </w:rPr>
      </w:pPr>
      <w:proofErr w:type="spellStart"/>
      <w:r w:rsidRPr="00BD372E">
        <w:rPr>
          <w:rFonts w:ascii="Constantia" w:hAnsi="Constantia"/>
          <w:color w:val="0000FF"/>
          <w:lang w:val="en-GB"/>
        </w:rPr>
        <w:lastRenderedPageBreak/>
        <w:t>Reference</w:t>
      </w:r>
      <w:r w:rsidR="00F03EFD" w:rsidRPr="00BD372E">
        <w:rPr>
          <w:rFonts w:ascii="Constantia" w:hAnsi="Constantia"/>
          <w:color w:val="0000FF"/>
          <w:lang w:val="en-GB"/>
        </w:rPr>
        <w:t>Value</w:t>
      </w:r>
      <w:proofErr w:type="spellEnd"/>
      <w:r w:rsidRPr="00BD372E">
        <w:rPr>
          <w:rFonts w:ascii="Constantia" w:hAnsi="Constantia"/>
          <w:color w:val="0000FF"/>
          <w:lang w:val="en-GB"/>
        </w:rPr>
        <w:t xml:space="preserve"> Advisor</w:t>
      </w:r>
      <w:r w:rsidR="00A6729A" w:rsidRPr="00A6729A">
        <w:rPr>
          <w:lang w:val="en-GB"/>
        </w:rPr>
        <w:t xml:space="preserve"> is a set of Excel </w:t>
      </w:r>
      <w:r w:rsidR="00A6729A">
        <w:rPr>
          <w:lang w:val="en-GB"/>
        </w:rPr>
        <w:t>macros that compute reference intervals from data contained in spreadsheet. It closely follows the CLSI guideline [1].</w:t>
      </w:r>
    </w:p>
    <w:p w:rsidR="00A6729A" w:rsidRPr="00A6729A" w:rsidRDefault="00A6729A" w:rsidP="00963418">
      <w:pPr>
        <w:rPr>
          <w:lang w:val="en-GB"/>
        </w:rPr>
      </w:pPr>
    </w:p>
    <w:p w:rsidR="00877228" w:rsidRPr="00A6729A" w:rsidRDefault="00A6729A">
      <w:pPr>
        <w:rPr>
          <w:b/>
          <w:lang w:val="en-GB"/>
        </w:rPr>
      </w:pPr>
      <w:r w:rsidRPr="00A6729A">
        <w:rPr>
          <w:b/>
          <w:lang w:val="en-GB"/>
        </w:rPr>
        <w:t>Data</w:t>
      </w:r>
    </w:p>
    <w:p w:rsidR="00A6729A" w:rsidRDefault="00DA2B26">
      <w:pPr>
        <w:rPr>
          <w:lang w:val="en-GB"/>
        </w:rPr>
      </w:pPr>
      <w:r>
        <w:rPr>
          <w:lang w:val="en-GB"/>
        </w:rPr>
        <w:t>T</w:t>
      </w:r>
      <w:r w:rsidR="00A6729A">
        <w:rPr>
          <w:lang w:val="en-GB"/>
        </w:rPr>
        <w:t>he data should be contained in column</w:t>
      </w:r>
      <w:r>
        <w:rPr>
          <w:lang w:val="en-GB"/>
        </w:rPr>
        <w:t>s</w:t>
      </w:r>
      <w:r w:rsidR="00A6729A">
        <w:rPr>
          <w:lang w:val="en-GB"/>
        </w:rPr>
        <w:t xml:space="preserve"> whose first line indicates the name of the analyte</w:t>
      </w:r>
      <w:r>
        <w:rPr>
          <w:lang w:val="en-GB"/>
        </w:rPr>
        <w:t xml:space="preserve"> for which a reference interval is to be computed.</w:t>
      </w:r>
    </w:p>
    <w:p w:rsidR="00A6729A" w:rsidRDefault="00A6729A">
      <w:pPr>
        <w:rPr>
          <w:lang w:val="en-GB"/>
        </w:rPr>
      </w:pPr>
    </w:p>
    <w:p w:rsidR="00A6729A" w:rsidRDefault="00DA2B26">
      <w:pPr>
        <w:rPr>
          <w:lang w:val="en-GB"/>
        </w:rPr>
      </w:pPr>
      <w:r>
        <w:rPr>
          <w:lang w:val="en-GB"/>
        </w:rPr>
        <w:t xml:space="preserve">A click on the button </w:t>
      </w:r>
      <w:proofErr w:type="spellStart"/>
      <w:r w:rsidRPr="00DA2B26">
        <w:rPr>
          <w:rFonts w:ascii="Constantia" w:hAnsi="Constantia"/>
          <w:color w:val="0000FF"/>
          <w:bdr w:val="single" w:sz="4" w:space="0" w:color="auto"/>
          <w:lang w:val="en-GB"/>
        </w:rPr>
        <w:t>RvA</w:t>
      </w:r>
      <w:proofErr w:type="spellEnd"/>
      <w:r>
        <w:rPr>
          <w:lang w:val="en-GB"/>
        </w:rPr>
        <w:t xml:space="preserve"> gives the following menu</w:t>
      </w:r>
    </w:p>
    <w:p w:rsidR="00DA2B26" w:rsidRDefault="00DA2B26">
      <w:pPr>
        <w:rPr>
          <w:lang w:val="en-GB"/>
        </w:rPr>
      </w:pPr>
    </w:p>
    <w:p w:rsidR="00DA2B26" w:rsidRDefault="0002546D">
      <w:pPr>
        <w:rPr>
          <w:lang w:val="en-GB"/>
        </w:rPr>
      </w:pPr>
      <w:r>
        <w:rPr>
          <w:noProof/>
        </w:rPr>
        <w:drawing>
          <wp:inline distT="0" distB="0" distL="0" distR="0">
            <wp:extent cx="2901950" cy="1539240"/>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01950" cy="1539240"/>
                    </a:xfrm>
                    <a:prstGeom prst="rect">
                      <a:avLst/>
                    </a:prstGeom>
                    <a:noFill/>
                    <a:ln>
                      <a:noFill/>
                    </a:ln>
                  </pic:spPr>
                </pic:pic>
              </a:graphicData>
            </a:graphic>
          </wp:inline>
        </w:drawing>
      </w:r>
    </w:p>
    <w:p w:rsidR="00DA2B26" w:rsidRDefault="00DA2B26">
      <w:pPr>
        <w:rPr>
          <w:lang w:val="en-GB"/>
        </w:rPr>
      </w:pPr>
      <w:r>
        <w:rPr>
          <w:lang w:val="en-GB"/>
        </w:rPr>
        <w:t>Select the data with the mouse and click on the OK button.</w:t>
      </w:r>
    </w:p>
    <w:p w:rsidR="00DA2B26" w:rsidRDefault="00DA2B26">
      <w:pPr>
        <w:rPr>
          <w:lang w:val="en-GB"/>
        </w:rPr>
      </w:pPr>
    </w:p>
    <w:p w:rsidR="00DA2B26" w:rsidRDefault="00DA2B26" w:rsidP="00DA2B26">
      <w:pPr>
        <w:rPr>
          <w:b/>
          <w:lang w:val="en-GB"/>
        </w:rPr>
      </w:pPr>
      <w:r>
        <w:rPr>
          <w:b/>
          <w:lang w:val="en-GB"/>
        </w:rPr>
        <w:t>Results given by Reference Value Advisor</w:t>
      </w:r>
    </w:p>
    <w:p w:rsidR="00680697" w:rsidRDefault="00DA2B26" w:rsidP="00DA2B26">
      <w:pPr>
        <w:rPr>
          <w:lang w:val="en-GB"/>
        </w:rPr>
      </w:pPr>
      <w:r w:rsidRPr="00DA2B26">
        <w:rPr>
          <w:lang w:val="en-GB"/>
        </w:rPr>
        <w:t>Ref</w:t>
      </w:r>
      <w:r>
        <w:rPr>
          <w:lang w:val="en-GB"/>
        </w:rPr>
        <w:t>e</w:t>
      </w:r>
      <w:r w:rsidRPr="00DA2B26">
        <w:rPr>
          <w:lang w:val="en-GB"/>
        </w:rPr>
        <w:t>rence Value Advisor</w:t>
      </w:r>
      <w:r>
        <w:rPr>
          <w:lang w:val="en-GB"/>
        </w:rPr>
        <w:t xml:space="preserve"> creates </w:t>
      </w:r>
    </w:p>
    <w:p w:rsidR="00DA2B26" w:rsidRDefault="00DA2B26" w:rsidP="00680697">
      <w:pPr>
        <w:numPr>
          <w:ilvl w:val="0"/>
          <w:numId w:val="2"/>
        </w:numPr>
        <w:rPr>
          <w:lang w:val="en-GB"/>
        </w:rPr>
      </w:pPr>
      <w:r>
        <w:rPr>
          <w:lang w:val="en-GB"/>
        </w:rPr>
        <w:t>for each analyte</w:t>
      </w:r>
      <w:r w:rsidR="00680697">
        <w:rPr>
          <w:lang w:val="en-GB"/>
        </w:rPr>
        <w:t xml:space="preserve"> a </w:t>
      </w:r>
      <w:r w:rsidR="0008717C">
        <w:rPr>
          <w:lang w:val="en-GB"/>
        </w:rPr>
        <w:t xml:space="preserve">spreadsheets </w:t>
      </w:r>
      <w:r w:rsidR="00680697">
        <w:rPr>
          <w:lang w:val="en-GB"/>
        </w:rPr>
        <w:t>containing the report of the analysis,</w:t>
      </w:r>
    </w:p>
    <w:p w:rsidR="00680697" w:rsidRPr="00DA2B26" w:rsidRDefault="00680697" w:rsidP="00680697">
      <w:pPr>
        <w:numPr>
          <w:ilvl w:val="0"/>
          <w:numId w:val="2"/>
        </w:numPr>
        <w:rPr>
          <w:lang w:val="en-GB"/>
        </w:rPr>
      </w:pPr>
      <w:r>
        <w:rPr>
          <w:lang w:val="en-GB"/>
        </w:rPr>
        <w:t xml:space="preserve">for all analytes a </w:t>
      </w:r>
      <w:r w:rsidR="0008717C">
        <w:rPr>
          <w:lang w:val="en-GB"/>
        </w:rPr>
        <w:t xml:space="preserve">spreadsheets </w:t>
      </w:r>
      <w:r>
        <w:rPr>
          <w:lang w:val="en-GB"/>
        </w:rPr>
        <w:t xml:space="preserve">containing information about outliers, </w:t>
      </w:r>
    </w:p>
    <w:p w:rsidR="0008717C" w:rsidRDefault="0008717C">
      <w:pPr>
        <w:rPr>
          <w:lang w:val="en-GB"/>
        </w:rPr>
      </w:pPr>
    </w:p>
    <w:p w:rsidR="00DA2B26" w:rsidRDefault="00680697">
      <w:pPr>
        <w:rPr>
          <w:lang w:val="en-GB"/>
        </w:rPr>
      </w:pPr>
      <w:r>
        <w:rPr>
          <w:lang w:val="en-GB"/>
        </w:rPr>
        <w:t xml:space="preserve">As an example open the file </w:t>
      </w:r>
      <w:proofErr w:type="spellStart"/>
      <w:r>
        <w:rPr>
          <w:lang w:val="en-GB"/>
        </w:rPr>
        <w:t>Creat</w:t>
      </w:r>
      <w:proofErr w:type="spellEnd"/>
    </w:p>
    <w:p w:rsidR="00680697" w:rsidRDefault="00680697">
      <w:pPr>
        <w:rPr>
          <w:lang w:val="en-GB"/>
        </w:rPr>
      </w:pPr>
      <w:r>
        <w:rPr>
          <w:lang w:val="en-GB"/>
        </w:rPr>
        <w:t xml:space="preserve">This file contains two columns: </w:t>
      </w:r>
      <w:proofErr w:type="spellStart"/>
      <w:r>
        <w:rPr>
          <w:lang w:val="en-GB"/>
        </w:rPr>
        <w:t>Creat</w:t>
      </w:r>
      <w:proofErr w:type="spellEnd"/>
      <w:r>
        <w:rPr>
          <w:lang w:val="en-GB"/>
        </w:rPr>
        <w:t xml:space="preserve"> and Urea</w:t>
      </w:r>
    </w:p>
    <w:p w:rsidR="00DA2B26" w:rsidRDefault="0008717C">
      <w:pPr>
        <w:rPr>
          <w:lang w:val="en-GB"/>
        </w:rPr>
      </w:pPr>
      <w:r>
        <w:rPr>
          <w:lang w:val="en-GB"/>
        </w:rPr>
        <w:t xml:space="preserve">Selecting the columns </w:t>
      </w:r>
      <w:proofErr w:type="spellStart"/>
      <w:r>
        <w:rPr>
          <w:lang w:val="en-GB"/>
        </w:rPr>
        <w:t>Creat</w:t>
      </w:r>
      <w:proofErr w:type="spellEnd"/>
      <w:r>
        <w:rPr>
          <w:lang w:val="en-GB"/>
        </w:rPr>
        <w:t xml:space="preserve"> and Urea produces three spreadsheets: Report for </w:t>
      </w:r>
      <w:proofErr w:type="spellStart"/>
      <w:r>
        <w:rPr>
          <w:lang w:val="en-GB"/>
        </w:rPr>
        <w:t>Creat</w:t>
      </w:r>
      <w:proofErr w:type="spellEnd"/>
      <w:r>
        <w:rPr>
          <w:lang w:val="en-GB"/>
        </w:rPr>
        <w:t>, Report for Urea, Outliers Analysis.</w:t>
      </w:r>
    </w:p>
    <w:p w:rsidR="00DA2B26" w:rsidRDefault="0008717C">
      <w:pPr>
        <w:rPr>
          <w:lang w:val="en-GB"/>
        </w:rPr>
      </w:pPr>
      <w:r>
        <w:rPr>
          <w:lang w:val="en-GB"/>
        </w:rPr>
        <w:t xml:space="preserve">The spreadsheet Outliers Analysis contains </w:t>
      </w:r>
      <w:r w:rsidR="003A1A7F">
        <w:rPr>
          <w:lang w:val="en-GB"/>
        </w:rPr>
        <w:t>outliers'</w:t>
      </w:r>
      <w:r>
        <w:rPr>
          <w:lang w:val="en-GB"/>
        </w:rPr>
        <w:t xml:space="preserve"> information for both </w:t>
      </w:r>
      <w:proofErr w:type="spellStart"/>
      <w:r>
        <w:rPr>
          <w:lang w:val="en-GB"/>
        </w:rPr>
        <w:t>Creat</w:t>
      </w:r>
      <w:proofErr w:type="spellEnd"/>
      <w:r>
        <w:rPr>
          <w:lang w:val="en-GB"/>
        </w:rPr>
        <w:t xml:space="preserve"> and Urea.</w:t>
      </w:r>
    </w:p>
    <w:p w:rsidR="00DA2B26" w:rsidRDefault="00DA2B26">
      <w:pPr>
        <w:rPr>
          <w:lang w:val="en-GB"/>
        </w:rPr>
      </w:pPr>
    </w:p>
    <w:p w:rsidR="00DA2B26" w:rsidRDefault="0008717C">
      <w:pPr>
        <w:rPr>
          <w:lang w:val="en-GB"/>
        </w:rPr>
      </w:pPr>
      <w:r>
        <w:rPr>
          <w:lang w:val="en-GB"/>
        </w:rPr>
        <w:t>Let us see now in detail the information given in the report spreadsheet.</w:t>
      </w:r>
    </w:p>
    <w:p w:rsidR="0008717C" w:rsidRDefault="0008717C" w:rsidP="0008717C">
      <w:pPr>
        <w:rPr>
          <w:lang w:val="en-GB"/>
        </w:rPr>
      </w:pPr>
      <w:r>
        <w:rPr>
          <w:lang w:val="en-GB"/>
        </w:rPr>
        <w:t>This spreadsheet contains 2 pages reproduced hereafter.</w:t>
      </w: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tbl>
      <w:tblPr>
        <w:tblW w:w="9780" w:type="dxa"/>
        <w:tblInd w:w="70" w:type="dxa"/>
        <w:tblCellMar>
          <w:left w:w="70" w:type="dxa"/>
          <w:right w:w="70" w:type="dxa"/>
        </w:tblCellMar>
        <w:tblLook w:val="0000" w:firstRow="0" w:lastRow="0" w:firstColumn="0" w:lastColumn="0" w:noHBand="0" w:noVBand="0"/>
      </w:tblPr>
      <w:tblGrid>
        <w:gridCol w:w="2795"/>
        <w:gridCol w:w="1279"/>
        <w:gridCol w:w="1202"/>
        <w:gridCol w:w="1279"/>
        <w:gridCol w:w="1527"/>
        <w:gridCol w:w="1698"/>
      </w:tblGrid>
      <w:tr w:rsidR="00DD74E8" w:rsidTr="00DD74E8">
        <w:trPr>
          <w:trHeight w:val="900"/>
        </w:trPr>
        <w:tc>
          <w:tcPr>
            <w:tcW w:w="2795" w:type="dxa"/>
            <w:vMerge w:val="restart"/>
            <w:tcBorders>
              <w:top w:val="nil"/>
              <w:left w:val="nil"/>
              <w:bottom w:val="nil"/>
              <w:right w:val="nil"/>
            </w:tcBorders>
            <w:shd w:val="clear" w:color="auto" w:fill="99CCFF"/>
            <w:vAlign w:val="center"/>
          </w:tcPr>
          <w:p w:rsidR="00DD74E8" w:rsidRDefault="00DD74E8" w:rsidP="004D1111">
            <w:pPr>
              <w:jc w:val="center"/>
              <w:rPr>
                <w:rFonts w:ascii="Constantia" w:hAnsi="Constantia" w:cs="Arial"/>
                <w:b/>
                <w:bCs/>
                <w:i/>
                <w:iCs/>
                <w:color w:val="0000FF"/>
                <w:sz w:val="32"/>
                <w:szCs w:val="32"/>
                <w:u w:val="single"/>
              </w:rPr>
            </w:pPr>
            <w:r>
              <w:rPr>
                <w:rFonts w:ascii="Constantia" w:hAnsi="Constantia" w:cs="Arial"/>
                <w:b/>
                <w:bCs/>
                <w:i/>
                <w:iCs/>
                <w:color w:val="0000FF"/>
                <w:sz w:val="32"/>
                <w:szCs w:val="32"/>
                <w:u w:val="single"/>
              </w:rPr>
              <w:lastRenderedPageBreak/>
              <w:t xml:space="preserve">Reference Value </w:t>
            </w:r>
            <w:proofErr w:type="spellStart"/>
            <w:r>
              <w:rPr>
                <w:rFonts w:ascii="Constantia" w:hAnsi="Constantia" w:cs="Arial"/>
                <w:b/>
                <w:bCs/>
                <w:i/>
                <w:iCs/>
                <w:color w:val="0000FF"/>
                <w:sz w:val="32"/>
                <w:szCs w:val="32"/>
                <w:u w:val="single"/>
              </w:rPr>
              <w:t>Advisor</w:t>
            </w:r>
            <w:proofErr w:type="spellEnd"/>
            <w:r>
              <w:rPr>
                <w:rFonts w:ascii="Constantia" w:hAnsi="Constantia" w:cs="Arial"/>
                <w:b/>
                <w:bCs/>
                <w:i/>
                <w:iCs/>
                <w:color w:val="0000FF"/>
                <w:sz w:val="32"/>
                <w:szCs w:val="32"/>
              </w:rPr>
              <w:t xml:space="preserve"> </w:t>
            </w:r>
            <w:r>
              <w:rPr>
                <w:rFonts w:ascii="Constantia" w:hAnsi="Constantia" w:cs="Arial"/>
                <w:b/>
                <w:bCs/>
                <w:i/>
                <w:iCs/>
                <w:color w:val="0000FF"/>
                <w:sz w:val="32"/>
                <w:szCs w:val="32"/>
                <w:vertAlign w:val="subscript"/>
              </w:rPr>
              <w:t>v</w:t>
            </w:r>
            <w:r w:rsidR="004D1111">
              <w:rPr>
                <w:rFonts w:ascii="Constantia" w:hAnsi="Constantia" w:cs="Arial"/>
                <w:b/>
                <w:bCs/>
                <w:i/>
                <w:iCs/>
                <w:color w:val="0000FF"/>
                <w:sz w:val="32"/>
                <w:szCs w:val="32"/>
                <w:vertAlign w:val="subscript"/>
              </w:rPr>
              <w:t>2</w:t>
            </w:r>
            <w:r>
              <w:rPr>
                <w:rFonts w:ascii="Constantia" w:hAnsi="Constantia" w:cs="Arial"/>
                <w:b/>
                <w:bCs/>
                <w:i/>
                <w:iCs/>
                <w:color w:val="0000FF"/>
                <w:sz w:val="32"/>
                <w:szCs w:val="32"/>
                <w:vertAlign w:val="subscript"/>
              </w:rPr>
              <w:t>.</w:t>
            </w:r>
            <w:r w:rsidR="004D1111">
              <w:rPr>
                <w:rFonts w:ascii="Constantia" w:hAnsi="Constantia" w:cs="Arial"/>
                <w:b/>
                <w:bCs/>
                <w:i/>
                <w:iCs/>
                <w:color w:val="0000FF"/>
                <w:sz w:val="32"/>
                <w:szCs w:val="32"/>
                <w:vertAlign w:val="subscript"/>
              </w:rPr>
              <w:t>0</w:t>
            </w:r>
            <w:bookmarkStart w:id="0" w:name="_GoBack"/>
            <w:bookmarkEnd w:id="0"/>
            <w:r>
              <w:rPr>
                <w:rFonts w:ascii="Constantia" w:hAnsi="Constantia" w:cs="Arial"/>
                <w:b/>
                <w:bCs/>
                <w:i/>
                <w:iCs/>
                <w:color w:val="0000FF"/>
                <w:sz w:val="32"/>
                <w:szCs w:val="32"/>
              </w:rPr>
              <w:t xml:space="preserve"> </w:t>
            </w:r>
          </w:p>
        </w:tc>
        <w:tc>
          <w:tcPr>
            <w:tcW w:w="6985" w:type="dxa"/>
            <w:gridSpan w:val="5"/>
            <w:tcBorders>
              <w:top w:val="nil"/>
              <w:left w:val="nil"/>
              <w:bottom w:val="nil"/>
              <w:right w:val="nil"/>
            </w:tcBorders>
            <w:shd w:val="clear" w:color="auto" w:fill="99CCFF"/>
            <w:noWrap/>
            <w:vAlign w:val="center"/>
          </w:tcPr>
          <w:p w:rsidR="00DD74E8" w:rsidRDefault="00DD74E8">
            <w:pPr>
              <w:jc w:val="center"/>
              <w:rPr>
                <w:rFonts w:ascii="Constantia" w:hAnsi="Constantia" w:cs="Arial"/>
                <w:b/>
                <w:bCs/>
                <w:i/>
                <w:iCs/>
                <w:sz w:val="32"/>
                <w:szCs w:val="32"/>
              </w:rPr>
            </w:pPr>
            <w:proofErr w:type="spellStart"/>
            <w:r>
              <w:rPr>
                <w:rFonts w:ascii="Constantia" w:hAnsi="Constantia" w:cs="Arial"/>
                <w:b/>
                <w:bCs/>
                <w:i/>
                <w:iCs/>
                <w:sz w:val="32"/>
                <w:szCs w:val="32"/>
              </w:rPr>
              <w:t>Results</w:t>
            </w:r>
            <w:proofErr w:type="spellEnd"/>
            <w:r>
              <w:rPr>
                <w:rFonts w:ascii="Constantia" w:hAnsi="Constantia" w:cs="Arial"/>
                <w:b/>
                <w:bCs/>
                <w:i/>
                <w:iCs/>
                <w:sz w:val="32"/>
                <w:szCs w:val="32"/>
              </w:rPr>
              <w:t xml:space="preserve"> for </w:t>
            </w:r>
            <w:proofErr w:type="spellStart"/>
            <w:r>
              <w:rPr>
                <w:rFonts w:ascii="Constantia" w:hAnsi="Constantia" w:cs="Arial"/>
                <w:b/>
                <w:bCs/>
                <w:i/>
                <w:iCs/>
                <w:sz w:val="32"/>
                <w:szCs w:val="32"/>
              </w:rPr>
              <w:t>Creat</w:t>
            </w:r>
            <w:proofErr w:type="spellEnd"/>
          </w:p>
        </w:tc>
      </w:tr>
      <w:tr w:rsidR="00DD74E8" w:rsidTr="00DD74E8">
        <w:trPr>
          <w:trHeight w:val="210"/>
        </w:trPr>
        <w:tc>
          <w:tcPr>
            <w:tcW w:w="2795" w:type="dxa"/>
            <w:vMerge/>
            <w:tcBorders>
              <w:top w:val="nil"/>
              <w:left w:val="nil"/>
              <w:bottom w:val="nil"/>
              <w:right w:val="nil"/>
            </w:tcBorders>
            <w:vAlign w:val="center"/>
          </w:tcPr>
          <w:p w:rsidR="00DD74E8" w:rsidRDefault="00DD74E8">
            <w:pPr>
              <w:rPr>
                <w:rFonts w:ascii="Constantia" w:hAnsi="Constantia" w:cs="Arial"/>
                <w:b/>
                <w:bCs/>
                <w:i/>
                <w:iCs/>
                <w:color w:val="0000FF"/>
                <w:sz w:val="32"/>
                <w:szCs w:val="32"/>
                <w:u w:val="single"/>
              </w:rPr>
            </w:pPr>
          </w:p>
        </w:tc>
        <w:tc>
          <w:tcPr>
            <w:tcW w:w="1279" w:type="dxa"/>
            <w:tcBorders>
              <w:top w:val="nil"/>
              <w:left w:val="nil"/>
              <w:bottom w:val="nil"/>
              <w:right w:val="nil"/>
            </w:tcBorders>
            <w:shd w:val="clear" w:color="auto" w:fill="99CCFF"/>
            <w:noWrap/>
            <w:vAlign w:val="bottom"/>
          </w:tcPr>
          <w:p w:rsidR="00DD74E8" w:rsidRDefault="00DD74E8">
            <w:pPr>
              <w:jc w:val="center"/>
              <w:rPr>
                <w:rFonts w:ascii="Constantia" w:hAnsi="Constantia" w:cs="Arial"/>
                <w:sz w:val="20"/>
                <w:szCs w:val="20"/>
              </w:rPr>
            </w:pPr>
            <w:r>
              <w:rPr>
                <w:rFonts w:ascii="Constantia" w:hAnsi="Constantia" w:cs="Arial"/>
                <w:sz w:val="20"/>
                <w:szCs w:val="20"/>
              </w:rPr>
              <w:t> </w:t>
            </w:r>
          </w:p>
        </w:tc>
        <w:tc>
          <w:tcPr>
            <w:tcW w:w="1202" w:type="dxa"/>
            <w:tcBorders>
              <w:top w:val="nil"/>
              <w:left w:val="nil"/>
              <w:bottom w:val="nil"/>
              <w:right w:val="nil"/>
            </w:tcBorders>
            <w:shd w:val="clear" w:color="auto" w:fill="99CCFF"/>
            <w:noWrap/>
            <w:vAlign w:val="bottom"/>
          </w:tcPr>
          <w:p w:rsidR="00DD74E8" w:rsidRDefault="00DD74E8">
            <w:pPr>
              <w:jc w:val="center"/>
              <w:rPr>
                <w:rFonts w:ascii="Constantia" w:hAnsi="Constantia" w:cs="Arial"/>
                <w:sz w:val="20"/>
                <w:szCs w:val="20"/>
              </w:rPr>
            </w:pPr>
            <w:r>
              <w:rPr>
                <w:rFonts w:ascii="Constantia" w:hAnsi="Constantia" w:cs="Arial"/>
                <w:sz w:val="20"/>
                <w:szCs w:val="20"/>
              </w:rPr>
              <w:t> </w:t>
            </w:r>
          </w:p>
        </w:tc>
        <w:tc>
          <w:tcPr>
            <w:tcW w:w="1279" w:type="dxa"/>
            <w:tcBorders>
              <w:top w:val="nil"/>
              <w:left w:val="nil"/>
              <w:bottom w:val="nil"/>
              <w:right w:val="nil"/>
            </w:tcBorders>
            <w:shd w:val="clear" w:color="auto" w:fill="99CCFF"/>
            <w:noWrap/>
            <w:vAlign w:val="bottom"/>
          </w:tcPr>
          <w:p w:rsidR="00DD74E8" w:rsidRDefault="00DD74E8">
            <w:pPr>
              <w:jc w:val="center"/>
              <w:rPr>
                <w:rFonts w:ascii="Constantia" w:hAnsi="Constantia" w:cs="Arial"/>
                <w:sz w:val="20"/>
                <w:szCs w:val="20"/>
              </w:rPr>
            </w:pPr>
            <w:r>
              <w:rPr>
                <w:rFonts w:ascii="Constantia" w:hAnsi="Constantia" w:cs="Arial"/>
                <w:sz w:val="20"/>
                <w:szCs w:val="20"/>
              </w:rPr>
              <w:t> </w:t>
            </w:r>
          </w:p>
        </w:tc>
        <w:tc>
          <w:tcPr>
            <w:tcW w:w="1527" w:type="dxa"/>
            <w:tcBorders>
              <w:top w:val="nil"/>
              <w:left w:val="nil"/>
              <w:bottom w:val="nil"/>
              <w:right w:val="nil"/>
            </w:tcBorders>
            <w:shd w:val="clear" w:color="auto" w:fill="99CCFF"/>
            <w:noWrap/>
            <w:vAlign w:val="center"/>
          </w:tcPr>
          <w:p w:rsidR="00DD74E8" w:rsidRDefault="00DD74E8">
            <w:pPr>
              <w:jc w:val="right"/>
              <w:rPr>
                <w:rFonts w:ascii="Constantia" w:hAnsi="Constantia" w:cs="Arial"/>
                <w:i/>
                <w:iCs/>
                <w:sz w:val="18"/>
                <w:szCs w:val="18"/>
              </w:rPr>
            </w:pPr>
            <w:r>
              <w:rPr>
                <w:rFonts w:ascii="Constantia" w:hAnsi="Constantia" w:cs="Arial"/>
                <w:i/>
                <w:iCs/>
                <w:sz w:val="18"/>
                <w:szCs w:val="18"/>
              </w:rPr>
              <w:t>Date</w:t>
            </w:r>
          </w:p>
        </w:tc>
        <w:tc>
          <w:tcPr>
            <w:tcW w:w="1698" w:type="dxa"/>
            <w:tcBorders>
              <w:top w:val="nil"/>
              <w:left w:val="nil"/>
              <w:bottom w:val="nil"/>
              <w:right w:val="nil"/>
            </w:tcBorders>
            <w:shd w:val="clear" w:color="auto" w:fill="99CCFF"/>
            <w:noWrap/>
            <w:vAlign w:val="center"/>
          </w:tcPr>
          <w:p w:rsidR="00DD74E8" w:rsidRDefault="003C04C2">
            <w:pPr>
              <w:jc w:val="right"/>
              <w:rPr>
                <w:rFonts w:ascii="Constantia" w:hAnsi="Constantia" w:cs="Arial"/>
                <w:i/>
                <w:iCs/>
                <w:sz w:val="20"/>
                <w:szCs w:val="20"/>
              </w:rPr>
            </w:pPr>
            <w:r>
              <w:rPr>
                <w:rFonts w:ascii="Constantia" w:hAnsi="Constantia" w:cs="Arial"/>
                <w:i/>
                <w:iCs/>
                <w:sz w:val="20"/>
                <w:szCs w:val="20"/>
              </w:rPr>
              <w:t>1</w:t>
            </w:r>
            <w:r w:rsidR="005D6821">
              <w:rPr>
                <w:rFonts w:ascii="Constantia" w:hAnsi="Constantia" w:cs="Arial"/>
                <w:i/>
                <w:iCs/>
                <w:sz w:val="20"/>
                <w:szCs w:val="20"/>
              </w:rPr>
              <w:t>0</w:t>
            </w:r>
            <w:r w:rsidR="00DD74E8">
              <w:rPr>
                <w:rFonts w:ascii="Constantia" w:hAnsi="Constantia" w:cs="Arial"/>
                <w:i/>
                <w:iCs/>
                <w:sz w:val="20"/>
                <w:szCs w:val="20"/>
              </w:rPr>
              <w:t>/</w:t>
            </w:r>
            <w:r w:rsidR="005D6821">
              <w:rPr>
                <w:rFonts w:ascii="Constantia" w:hAnsi="Constantia" w:cs="Arial"/>
                <w:i/>
                <w:iCs/>
                <w:sz w:val="20"/>
                <w:szCs w:val="20"/>
              </w:rPr>
              <w:t>0</w:t>
            </w:r>
            <w:r>
              <w:rPr>
                <w:rFonts w:ascii="Constantia" w:hAnsi="Constantia" w:cs="Arial"/>
                <w:i/>
                <w:iCs/>
                <w:sz w:val="20"/>
                <w:szCs w:val="20"/>
              </w:rPr>
              <w:t>1</w:t>
            </w:r>
            <w:r w:rsidR="00DD74E8">
              <w:rPr>
                <w:rFonts w:ascii="Constantia" w:hAnsi="Constantia" w:cs="Arial"/>
                <w:i/>
                <w:iCs/>
                <w:sz w:val="20"/>
                <w:szCs w:val="20"/>
              </w:rPr>
              <w:t>/20</w:t>
            </w:r>
            <w:r w:rsidR="005D6821">
              <w:rPr>
                <w:rFonts w:ascii="Constantia" w:hAnsi="Constantia" w:cs="Arial"/>
                <w:i/>
                <w:iCs/>
                <w:sz w:val="20"/>
                <w:szCs w:val="20"/>
              </w:rPr>
              <w:t>10</w:t>
            </w:r>
          </w:p>
        </w:tc>
      </w:tr>
      <w:tr w:rsidR="00DD74E8" w:rsidTr="00DD74E8">
        <w:trPr>
          <w:trHeight w:val="210"/>
        </w:trPr>
        <w:tc>
          <w:tcPr>
            <w:tcW w:w="2795" w:type="dxa"/>
            <w:vMerge/>
            <w:tcBorders>
              <w:top w:val="nil"/>
              <w:left w:val="nil"/>
              <w:bottom w:val="nil"/>
              <w:right w:val="nil"/>
            </w:tcBorders>
            <w:vAlign w:val="center"/>
          </w:tcPr>
          <w:p w:rsidR="00DD74E8" w:rsidRDefault="00DD74E8">
            <w:pPr>
              <w:rPr>
                <w:rFonts w:ascii="Constantia" w:hAnsi="Constantia" w:cs="Arial"/>
                <w:b/>
                <w:bCs/>
                <w:i/>
                <w:iCs/>
                <w:color w:val="0000FF"/>
                <w:sz w:val="32"/>
                <w:szCs w:val="32"/>
                <w:u w:val="single"/>
              </w:rPr>
            </w:pPr>
          </w:p>
        </w:tc>
        <w:tc>
          <w:tcPr>
            <w:tcW w:w="1279" w:type="dxa"/>
            <w:tcBorders>
              <w:top w:val="nil"/>
              <w:left w:val="nil"/>
              <w:bottom w:val="nil"/>
              <w:right w:val="nil"/>
            </w:tcBorders>
            <w:shd w:val="clear" w:color="auto" w:fill="99CCFF"/>
            <w:noWrap/>
            <w:vAlign w:val="bottom"/>
          </w:tcPr>
          <w:p w:rsidR="00DD74E8" w:rsidRDefault="00DD74E8">
            <w:pPr>
              <w:jc w:val="center"/>
              <w:rPr>
                <w:rFonts w:ascii="Constantia" w:hAnsi="Constantia" w:cs="Arial"/>
                <w:sz w:val="20"/>
                <w:szCs w:val="20"/>
              </w:rPr>
            </w:pPr>
            <w:r>
              <w:rPr>
                <w:rFonts w:ascii="Constantia" w:hAnsi="Constantia" w:cs="Arial"/>
                <w:sz w:val="20"/>
                <w:szCs w:val="20"/>
              </w:rPr>
              <w:t> </w:t>
            </w:r>
          </w:p>
        </w:tc>
        <w:tc>
          <w:tcPr>
            <w:tcW w:w="1202" w:type="dxa"/>
            <w:tcBorders>
              <w:top w:val="nil"/>
              <w:left w:val="nil"/>
              <w:bottom w:val="nil"/>
              <w:right w:val="nil"/>
            </w:tcBorders>
            <w:shd w:val="clear" w:color="auto" w:fill="99CCFF"/>
            <w:noWrap/>
            <w:vAlign w:val="bottom"/>
          </w:tcPr>
          <w:p w:rsidR="00DD74E8" w:rsidRDefault="00DD74E8">
            <w:pPr>
              <w:jc w:val="center"/>
              <w:rPr>
                <w:rFonts w:ascii="Constantia" w:hAnsi="Constantia" w:cs="Arial"/>
                <w:sz w:val="20"/>
                <w:szCs w:val="20"/>
              </w:rPr>
            </w:pPr>
            <w:r>
              <w:rPr>
                <w:rFonts w:ascii="Constantia" w:hAnsi="Constantia" w:cs="Arial"/>
                <w:sz w:val="20"/>
                <w:szCs w:val="20"/>
              </w:rPr>
              <w:t> </w:t>
            </w:r>
          </w:p>
        </w:tc>
        <w:tc>
          <w:tcPr>
            <w:tcW w:w="1279" w:type="dxa"/>
            <w:tcBorders>
              <w:top w:val="nil"/>
              <w:left w:val="nil"/>
              <w:bottom w:val="nil"/>
              <w:right w:val="nil"/>
            </w:tcBorders>
            <w:shd w:val="clear" w:color="auto" w:fill="99CCFF"/>
            <w:noWrap/>
            <w:vAlign w:val="bottom"/>
          </w:tcPr>
          <w:p w:rsidR="00DD74E8" w:rsidRDefault="00DD74E8">
            <w:pPr>
              <w:jc w:val="center"/>
              <w:rPr>
                <w:rFonts w:ascii="Constantia" w:hAnsi="Constantia" w:cs="Arial"/>
                <w:sz w:val="20"/>
                <w:szCs w:val="20"/>
              </w:rPr>
            </w:pPr>
            <w:r>
              <w:rPr>
                <w:rFonts w:ascii="Constantia" w:hAnsi="Constantia" w:cs="Arial"/>
                <w:sz w:val="20"/>
                <w:szCs w:val="20"/>
              </w:rPr>
              <w:t> </w:t>
            </w:r>
          </w:p>
        </w:tc>
        <w:tc>
          <w:tcPr>
            <w:tcW w:w="1527" w:type="dxa"/>
            <w:tcBorders>
              <w:top w:val="nil"/>
              <w:left w:val="nil"/>
              <w:bottom w:val="nil"/>
              <w:right w:val="nil"/>
            </w:tcBorders>
            <w:shd w:val="clear" w:color="auto" w:fill="99CCFF"/>
            <w:noWrap/>
            <w:vAlign w:val="center"/>
          </w:tcPr>
          <w:p w:rsidR="00DD74E8" w:rsidRDefault="00DD74E8">
            <w:pPr>
              <w:jc w:val="right"/>
              <w:rPr>
                <w:rFonts w:ascii="Constantia" w:hAnsi="Constantia" w:cs="Arial"/>
                <w:i/>
                <w:iCs/>
                <w:sz w:val="18"/>
                <w:szCs w:val="18"/>
              </w:rPr>
            </w:pPr>
            <w:proofErr w:type="spellStart"/>
            <w:r>
              <w:rPr>
                <w:rFonts w:ascii="Constantia" w:hAnsi="Constantia" w:cs="Arial"/>
                <w:i/>
                <w:iCs/>
                <w:sz w:val="18"/>
                <w:szCs w:val="18"/>
              </w:rPr>
              <w:t>Performed</w:t>
            </w:r>
            <w:proofErr w:type="spellEnd"/>
            <w:r>
              <w:rPr>
                <w:rFonts w:ascii="Constantia" w:hAnsi="Constantia" w:cs="Arial"/>
                <w:i/>
                <w:iCs/>
                <w:sz w:val="18"/>
                <w:szCs w:val="18"/>
              </w:rPr>
              <w:t xml:space="preserve"> by</w:t>
            </w:r>
          </w:p>
        </w:tc>
        <w:tc>
          <w:tcPr>
            <w:tcW w:w="1698" w:type="dxa"/>
            <w:tcBorders>
              <w:top w:val="nil"/>
              <w:left w:val="nil"/>
              <w:bottom w:val="nil"/>
              <w:right w:val="nil"/>
            </w:tcBorders>
            <w:shd w:val="clear" w:color="auto" w:fill="99CCFF"/>
            <w:noWrap/>
            <w:vAlign w:val="center"/>
          </w:tcPr>
          <w:p w:rsidR="00DD74E8" w:rsidRDefault="00DD74E8">
            <w:pPr>
              <w:jc w:val="right"/>
              <w:rPr>
                <w:rFonts w:ascii="Constantia" w:hAnsi="Constantia" w:cs="Arial"/>
                <w:i/>
                <w:iCs/>
                <w:sz w:val="20"/>
                <w:szCs w:val="20"/>
              </w:rPr>
            </w:pPr>
            <w:r>
              <w:rPr>
                <w:rFonts w:ascii="Constantia" w:hAnsi="Constantia" w:cs="Arial"/>
                <w:i/>
                <w:iCs/>
                <w:sz w:val="20"/>
                <w:szCs w:val="20"/>
              </w:rPr>
              <w:t>Didier</w:t>
            </w:r>
          </w:p>
        </w:tc>
      </w:tr>
      <w:tr w:rsidR="00DD74E8" w:rsidTr="00DD74E8">
        <w:trPr>
          <w:trHeight w:val="210"/>
        </w:trPr>
        <w:tc>
          <w:tcPr>
            <w:tcW w:w="2795" w:type="dxa"/>
            <w:tcBorders>
              <w:top w:val="nil"/>
              <w:left w:val="nil"/>
              <w:bottom w:val="nil"/>
              <w:right w:val="nil"/>
            </w:tcBorders>
            <w:shd w:val="clear" w:color="auto" w:fill="auto"/>
            <w:noWrap/>
            <w:vAlign w:val="bottom"/>
          </w:tcPr>
          <w:p w:rsidR="00DD74E8" w:rsidRDefault="00DD74E8">
            <w:pPr>
              <w:rPr>
                <w:rFonts w:ascii="Arial" w:hAnsi="Arial" w:cs="Arial"/>
                <w:sz w:val="20"/>
                <w:szCs w:val="20"/>
              </w:rPr>
            </w:pPr>
          </w:p>
        </w:tc>
        <w:tc>
          <w:tcPr>
            <w:tcW w:w="1279"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c>
          <w:tcPr>
            <w:tcW w:w="1202"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c>
          <w:tcPr>
            <w:tcW w:w="1279"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c>
          <w:tcPr>
            <w:tcW w:w="1527" w:type="dxa"/>
            <w:tcBorders>
              <w:top w:val="nil"/>
              <w:left w:val="nil"/>
              <w:bottom w:val="nil"/>
              <w:right w:val="nil"/>
            </w:tcBorders>
            <w:shd w:val="clear" w:color="auto" w:fill="auto"/>
            <w:noWrap/>
            <w:vAlign w:val="center"/>
          </w:tcPr>
          <w:p w:rsidR="00DD74E8" w:rsidRDefault="00DD74E8">
            <w:pPr>
              <w:jc w:val="right"/>
              <w:rPr>
                <w:rFonts w:ascii="Arial" w:hAnsi="Arial" w:cs="Arial"/>
                <w:i/>
                <w:iCs/>
                <w:sz w:val="18"/>
                <w:szCs w:val="18"/>
              </w:rPr>
            </w:pPr>
          </w:p>
        </w:tc>
        <w:tc>
          <w:tcPr>
            <w:tcW w:w="1698"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r>
      <w:tr w:rsidR="00DD74E8" w:rsidTr="00DD74E8">
        <w:trPr>
          <w:trHeight w:val="210"/>
        </w:trPr>
        <w:tc>
          <w:tcPr>
            <w:tcW w:w="2795" w:type="dxa"/>
            <w:tcBorders>
              <w:top w:val="nil"/>
              <w:left w:val="nil"/>
              <w:bottom w:val="nil"/>
              <w:right w:val="nil"/>
            </w:tcBorders>
            <w:shd w:val="clear" w:color="auto" w:fill="auto"/>
            <w:noWrap/>
            <w:vAlign w:val="bottom"/>
          </w:tcPr>
          <w:p w:rsidR="00DD74E8" w:rsidRDefault="00DD74E8">
            <w:pPr>
              <w:rPr>
                <w:rFonts w:ascii="Arial" w:hAnsi="Arial" w:cs="Arial"/>
                <w:sz w:val="20"/>
                <w:szCs w:val="20"/>
              </w:rPr>
            </w:pPr>
          </w:p>
        </w:tc>
        <w:tc>
          <w:tcPr>
            <w:tcW w:w="1279"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c>
          <w:tcPr>
            <w:tcW w:w="1202"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c>
          <w:tcPr>
            <w:tcW w:w="1279"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c>
          <w:tcPr>
            <w:tcW w:w="1527" w:type="dxa"/>
            <w:tcBorders>
              <w:top w:val="nil"/>
              <w:left w:val="nil"/>
              <w:bottom w:val="nil"/>
              <w:right w:val="nil"/>
            </w:tcBorders>
            <w:shd w:val="clear" w:color="auto" w:fill="auto"/>
            <w:noWrap/>
            <w:vAlign w:val="center"/>
          </w:tcPr>
          <w:p w:rsidR="00DD74E8" w:rsidRDefault="00DD74E8">
            <w:pPr>
              <w:jc w:val="right"/>
              <w:rPr>
                <w:rFonts w:ascii="Arial" w:hAnsi="Arial" w:cs="Arial"/>
                <w:i/>
                <w:iCs/>
                <w:sz w:val="18"/>
                <w:szCs w:val="18"/>
              </w:rPr>
            </w:pPr>
          </w:p>
        </w:tc>
        <w:tc>
          <w:tcPr>
            <w:tcW w:w="1698"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r>
      <w:tr w:rsidR="00DD74E8" w:rsidTr="00DD74E8">
        <w:trPr>
          <w:trHeight w:val="210"/>
        </w:trPr>
        <w:tc>
          <w:tcPr>
            <w:tcW w:w="2795" w:type="dxa"/>
            <w:tcBorders>
              <w:top w:val="nil"/>
              <w:left w:val="nil"/>
              <w:bottom w:val="double" w:sz="6" w:space="0" w:color="auto"/>
              <w:right w:val="nil"/>
            </w:tcBorders>
            <w:shd w:val="clear" w:color="auto" w:fill="auto"/>
            <w:noWrap/>
            <w:vAlign w:val="bottom"/>
          </w:tcPr>
          <w:p w:rsidR="00DD74E8" w:rsidRDefault="00DD74E8">
            <w:pPr>
              <w:rPr>
                <w:rFonts w:ascii="Arial" w:hAnsi="Arial" w:cs="Arial"/>
                <w:sz w:val="20"/>
                <w:szCs w:val="20"/>
              </w:rPr>
            </w:pPr>
            <w:r>
              <w:rPr>
                <w:rFonts w:ascii="Arial" w:hAnsi="Arial" w:cs="Arial"/>
                <w:sz w:val="20"/>
                <w:szCs w:val="20"/>
              </w:rPr>
              <w:t> </w:t>
            </w:r>
          </w:p>
        </w:tc>
        <w:tc>
          <w:tcPr>
            <w:tcW w:w="1279" w:type="dxa"/>
            <w:tcBorders>
              <w:top w:val="nil"/>
              <w:left w:val="nil"/>
              <w:bottom w:val="double" w:sz="6" w:space="0" w:color="auto"/>
              <w:right w:val="nil"/>
            </w:tcBorders>
            <w:shd w:val="clear" w:color="auto" w:fill="auto"/>
            <w:noWrap/>
            <w:vAlign w:val="bottom"/>
          </w:tcPr>
          <w:p w:rsidR="00DD74E8" w:rsidRDefault="00DD74E8">
            <w:pPr>
              <w:jc w:val="center"/>
              <w:rPr>
                <w:rFonts w:ascii="Arial" w:hAnsi="Arial" w:cs="Arial"/>
                <w:sz w:val="20"/>
                <w:szCs w:val="20"/>
              </w:rPr>
            </w:pPr>
            <w:r>
              <w:rPr>
                <w:rFonts w:ascii="Arial" w:hAnsi="Arial" w:cs="Arial"/>
                <w:sz w:val="20"/>
                <w:szCs w:val="20"/>
              </w:rPr>
              <w:t> </w:t>
            </w:r>
          </w:p>
        </w:tc>
        <w:tc>
          <w:tcPr>
            <w:tcW w:w="1202" w:type="dxa"/>
            <w:tcBorders>
              <w:top w:val="nil"/>
              <w:left w:val="nil"/>
              <w:bottom w:val="double" w:sz="6" w:space="0" w:color="auto"/>
              <w:right w:val="nil"/>
            </w:tcBorders>
            <w:shd w:val="clear" w:color="auto" w:fill="auto"/>
            <w:noWrap/>
            <w:vAlign w:val="bottom"/>
          </w:tcPr>
          <w:p w:rsidR="00DD74E8" w:rsidRDefault="00DD74E8">
            <w:pPr>
              <w:jc w:val="center"/>
              <w:rPr>
                <w:rFonts w:ascii="Arial" w:hAnsi="Arial" w:cs="Arial"/>
                <w:sz w:val="20"/>
                <w:szCs w:val="20"/>
              </w:rPr>
            </w:pPr>
            <w:r>
              <w:rPr>
                <w:rFonts w:ascii="Arial" w:hAnsi="Arial" w:cs="Arial"/>
                <w:sz w:val="20"/>
                <w:szCs w:val="20"/>
              </w:rPr>
              <w:t> </w:t>
            </w:r>
          </w:p>
        </w:tc>
        <w:tc>
          <w:tcPr>
            <w:tcW w:w="1279" w:type="dxa"/>
            <w:tcBorders>
              <w:top w:val="nil"/>
              <w:left w:val="nil"/>
              <w:bottom w:val="double" w:sz="6" w:space="0" w:color="auto"/>
              <w:right w:val="nil"/>
            </w:tcBorders>
            <w:shd w:val="clear" w:color="auto" w:fill="auto"/>
            <w:noWrap/>
            <w:vAlign w:val="bottom"/>
          </w:tcPr>
          <w:p w:rsidR="00DD74E8" w:rsidRDefault="00DD74E8">
            <w:pPr>
              <w:jc w:val="center"/>
              <w:rPr>
                <w:rFonts w:ascii="Arial" w:hAnsi="Arial" w:cs="Arial"/>
                <w:sz w:val="20"/>
                <w:szCs w:val="20"/>
              </w:rPr>
            </w:pPr>
            <w:r>
              <w:rPr>
                <w:rFonts w:ascii="Arial" w:hAnsi="Arial" w:cs="Arial"/>
                <w:sz w:val="20"/>
                <w:szCs w:val="20"/>
              </w:rPr>
              <w:t> </w:t>
            </w:r>
          </w:p>
        </w:tc>
        <w:tc>
          <w:tcPr>
            <w:tcW w:w="1527" w:type="dxa"/>
            <w:tcBorders>
              <w:top w:val="nil"/>
              <w:left w:val="nil"/>
              <w:bottom w:val="double" w:sz="6" w:space="0" w:color="auto"/>
              <w:right w:val="nil"/>
            </w:tcBorders>
            <w:shd w:val="clear" w:color="auto" w:fill="auto"/>
            <w:noWrap/>
            <w:vAlign w:val="center"/>
          </w:tcPr>
          <w:p w:rsidR="00DD74E8" w:rsidRDefault="00DD74E8">
            <w:pPr>
              <w:jc w:val="right"/>
              <w:rPr>
                <w:rFonts w:ascii="Arial" w:hAnsi="Arial" w:cs="Arial"/>
                <w:i/>
                <w:iCs/>
                <w:sz w:val="18"/>
                <w:szCs w:val="18"/>
              </w:rPr>
            </w:pPr>
            <w:r>
              <w:rPr>
                <w:rFonts w:ascii="Arial" w:hAnsi="Arial" w:cs="Arial"/>
                <w:i/>
                <w:iCs/>
                <w:sz w:val="18"/>
                <w:szCs w:val="18"/>
              </w:rPr>
              <w:t> </w:t>
            </w:r>
          </w:p>
        </w:tc>
        <w:tc>
          <w:tcPr>
            <w:tcW w:w="1698" w:type="dxa"/>
            <w:tcBorders>
              <w:top w:val="nil"/>
              <w:left w:val="nil"/>
              <w:bottom w:val="double" w:sz="6" w:space="0" w:color="auto"/>
              <w:right w:val="nil"/>
            </w:tcBorders>
            <w:shd w:val="clear" w:color="auto" w:fill="auto"/>
            <w:noWrap/>
            <w:vAlign w:val="bottom"/>
          </w:tcPr>
          <w:p w:rsidR="00DD74E8" w:rsidRDefault="00DD74E8">
            <w:pPr>
              <w:jc w:val="center"/>
              <w:rPr>
                <w:rFonts w:ascii="Arial" w:hAnsi="Arial" w:cs="Arial"/>
                <w:sz w:val="20"/>
                <w:szCs w:val="20"/>
              </w:rPr>
            </w:pPr>
            <w:r>
              <w:rPr>
                <w:rFonts w:ascii="Arial" w:hAnsi="Arial" w:cs="Arial"/>
                <w:sz w:val="20"/>
                <w:szCs w:val="20"/>
              </w:rPr>
              <w:t> </w:t>
            </w:r>
          </w:p>
        </w:tc>
      </w:tr>
      <w:tr w:rsidR="00DD74E8" w:rsidTr="00DD74E8">
        <w:trPr>
          <w:trHeight w:val="210"/>
        </w:trPr>
        <w:tc>
          <w:tcPr>
            <w:tcW w:w="2795" w:type="dxa"/>
            <w:tcBorders>
              <w:top w:val="nil"/>
              <w:left w:val="nil"/>
              <w:bottom w:val="nil"/>
              <w:right w:val="nil"/>
            </w:tcBorders>
            <w:shd w:val="clear" w:color="auto" w:fill="auto"/>
            <w:noWrap/>
            <w:vAlign w:val="bottom"/>
          </w:tcPr>
          <w:p w:rsidR="00DD74E8" w:rsidRDefault="00DD74E8">
            <w:pPr>
              <w:rPr>
                <w:rFonts w:ascii="Arial" w:hAnsi="Arial" w:cs="Arial"/>
                <w:sz w:val="20"/>
                <w:szCs w:val="20"/>
              </w:rPr>
            </w:pPr>
          </w:p>
        </w:tc>
        <w:tc>
          <w:tcPr>
            <w:tcW w:w="1279"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c>
          <w:tcPr>
            <w:tcW w:w="1202"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c>
          <w:tcPr>
            <w:tcW w:w="1279"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c>
          <w:tcPr>
            <w:tcW w:w="1527" w:type="dxa"/>
            <w:tcBorders>
              <w:top w:val="nil"/>
              <w:left w:val="nil"/>
              <w:bottom w:val="nil"/>
              <w:right w:val="nil"/>
            </w:tcBorders>
            <w:shd w:val="clear" w:color="auto" w:fill="auto"/>
            <w:noWrap/>
            <w:vAlign w:val="center"/>
          </w:tcPr>
          <w:p w:rsidR="00DD74E8" w:rsidRDefault="00DD74E8">
            <w:pPr>
              <w:jc w:val="right"/>
              <w:rPr>
                <w:rFonts w:ascii="Arial" w:hAnsi="Arial" w:cs="Arial"/>
                <w:i/>
                <w:iCs/>
                <w:sz w:val="18"/>
                <w:szCs w:val="18"/>
              </w:rPr>
            </w:pPr>
          </w:p>
        </w:tc>
        <w:tc>
          <w:tcPr>
            <w:tcW w:w="1698" w:type="dxa"/>
            <w:tcBorders>
              <w:top w:val="nil"/>
              <w:left w:val="nil"/>
              <w:bottom w:val="nil"/>
              <w:right w:val="nil"/>
            </w:tcBorders>
            <w:shd w:val="clear" w:color="auto" w:fill="auto"/>
            <w:noWrap/>
            <w:vAlign w:val="bottom"/>
          </w:tcPr>
          <w:p w:rsidR="00DD74E8" w:rsidRDefault="00DD74E8">
            <w:pPr>
              <w:jc w:val="center"/>
              <w:rPr>
                <w:rFonts w:ascii="Arial" w:hAnsi="Arial" w:cs="Arial"/>
                <w:sz w:val="20"/>
                <w:szCs w:val="20"/>
              </w:rPr>
            </w:pPr>
          </w:p>
        </w:tc>
      </w:tr>
      <w:tr w:rsidR="00DD74E8" w:rsidTr="00DD74E8">
        <w:trPr>
          <w:trHeight w:val="255"/>
        </w:trPr>
        <w:tc>
          <w:tcPr>
            <w:tcW w:w="2795" w:type="dxa"/>
            <w:tcBorders>
              <w:top w:val="nil"/>
              <w:left w:val="nil"/>
              <w:bottom w:val="nil"/>
              <w:right w:val="nil"/>
            </w:tcBorders>
            <w:shd w:val="clear" w:color="auto" w:fill="auto"/>
            <w:noWrap/>
            <w:vAlign w:val="bottom"/>
          </w:tcPr>
          <w:p w:rsidR="00DD74E8" w:rsidRDefault="00DD74E8">
            <w:pPr>
              <w:rPr>
                <w:rFonts w:ascii="Arial" w:hAnsi="Arial" w:cs="Arial"/>
                <w:sz w:val="20"/>
                <w:szCs w:val="20"/>
              </w:rPr>
            </w:pPr>
          </w:p>
        </w:tc>
        <w:tc>
          <w:tcPr>
            <w:tcW w:w="2481" w:type="dxa"/>
            <w:gridSpan w:val="2"/>
            <w:tcBorders>
              <w:top w:val="nil"/>
              <w:left w:val="nil"/>
              <w:bottom w:val="nil"/>
              <w:right w:val="nil"/>
            </w:tcBorders>
            <w:shd w:val="clear" w:color="auto" w:fill="auto"/>
            <w:noWrap/>
            <w:vAlign w:val="bottom"/>
          </w:tcPr>
          <w:p w:rsidR="00DD74E8" w:rsidRDefault="00DD74E8">
            <w:pPr>
              <w:jc w:val="center"/>
              <w:rPr>
                <w:rFonts w:ascii="Constantia" w:hAnsi="Constantia" w:cs="Arial"/>
                <w:sz w:val="18"/>
                <w:szCs w:val="18"/>
              </w:rPr>
            </w:pPr>
            <w:proofErr w:type="spellStart"/>
            <w:r>
              <w:rPr>
                <w:rFonts w:ascii="Constantia" w:hAnsi="Constantia" w:cs="Arial"/>
                <w:sz w:val="18"/>
                <w:szCs w:val="18"/>
              </w:rPr>
              <w:t>Untransformed</w:t>
            </w:r>
            <w:proofErr w:type="spellEnd"/>
            <w:r>
              <w:rPr>
                <w:rFonts w:ascii="Constantia" w:hAnsi="Constantia" w:cs="Arial"/>
                <w:sz w:val="18"/>
                <w:szCs w:val="18"/>
              </w:rPr>
              <w:t xml:space="preserve"> data</w:t>
            </w:r>
          </w:p>
        </w:tc>
        <w:tc>
          <w:tcPr>
            <w:tcW w:w="2806" w:type="dxa"/>
            <w:gridSpan w:val="2"/>
            <w:tcBorders>
              <w:top w:val="nil"/>
              <w:left w:val="nil"/>
              <w:bottom w:val="nil"/>
              <w:right w:val="nil"/>
            </w:tcBorders>
            <w:shd w:val="clear" w:color="auto" w:fill="auto"/>
            <w:noWrap/>
            <w:vAlign w:val="bottom"/>
          </w:tcPr>
          <w:p w:rsidR="00DD74E8" w:rsidRDefault="00DD74E8">
            <w:pPr>
              <w:jc w:val="center"/>
              <w:rPr>
                <w:rFonts w:ascii="Constantia" w:hAnsi="Constantia" w:cs="Arial"/>
                <w:sz w:val="18"/>
                <w:szCs w:val="18"/>
              </w:rPr>
            </w:pPr>
            <w:r>
              <w:rPr>
                <w:rFonts w:ascii="Constantia" w:hAnsi="Constantia" w:cs="Arial"/>
                <w:sz w:val="18"/>
                <w:szCs w:val="18"/>
              </w:rPr>
              <w:t xml:space="preserve">Box-Cox </w:t>
            </w:r>
            <w:proofErr w:type="spellStart"/>
            <w:r>
              <w:rPr>
                <w:rFonts w:ascii="Constantia" w:hAnsi="Constantia" w:cs="Arial"/>
                <w:sz w:val="18"/>
                <w:szCs w:val="18"/>
              </w:rPr>
              <w:t>transformed</w:t>
            </w:r>
            <w:proofErr w:type="spellEnd"/>
            <w:r>
              <w:rPr>
                <w:rFonts w:ascii="Constantia" w:hAnsi="Constantia" w:cs="Arial"/>
                <w:sz w:val="18"/>
                <w:szCs w:val="18"/>
              </w:rPr>
              <w:t xml:space="preserve"> data</w:t>
            </w:r>
          </w:p>
        </w:tc>
        <w:tc>
          <w:tcPr>
            <w:tcW w:w="1698" w:type="dxa"/>
            <w:tcBorders>
              <w:top w:val="nil"/>
              <w:left w:val="nil"/>
              <w:bottom w:val="nil"/>
              <w:right w:val="nil"/>
            </w:tcBorders>
            <w:shd w:val="clear" w:color="auto" w:fill="auto"/>
            <w:noWrap/>
            <w:vAlign w:val="bottom"/>
          </w:tcPr>
          <w:p w:rsidR="00DD74E8" w:rsidRDefault="00DD74E8">
            <w:pPr>
              <w:rPr>
                <w:rFonts w:ascii="Arial" w:hAnsi="Arial" w:cs="Arial"/>
                <w:sz w:val="20"/>
                <w:szCs w:val="20"/>
              </w:rPr>
            </w:pPr>
          </w:p>
        </w:tc>
      </w:tr>
      <w:tr w:rsidR="00DD74E8" w:rsidTr="00DD74E8">
        <w:trPr>
          <w:trHeight w:val="480"/>
        </w:trPr>
        <w:tc>
          <w:tcPr>
            <w:tcW w:w="2795" w:type="dxa"/>
            <w:tcBorders>
              <w:top w:val="nil"/>
              <w:left w:val="nil"/>
              <w:bottom w:val="nil"/>
              <w:right w:val="nil"/>
            </w:tcBorders>
            <w:shd w:val="clear" w:color="auto" w:fill="auto"/>
            <w:vAlign w:val="center"/>
          </w:tcPr>
          <w:p w:rsidR="00DD74E8" w:rsidRDefault="00DD74E8">
            <w:pPr>
              <w:rPr>
                <w:rFonts w:ascii="Constantia" w:hAnsi="Constantia" w:cs="Arial"/>
                <w:sz w:val="18"/>
                <w:szCs w:val="18"/>
              </w:rPr>
            </w:pPr>
            <w:proofErr w:type="spellStart"/>
            <w:r>
              <w:rPr>
                <w:rFonts w:ascii="Constantia" w:hAnsi="Constantia" w:cs="Arial"/>
                <w:sz w:val="18"/>
                <w:szCs w:val="18"/>
              </w:rPr>
              <w:t>Method</w:t>
            </w:r>
            <w:proofErr w:type="spellEnd"/>
          </w:p>
        </w:tc>
        <w:tc>
          <w:tcPr>
            <w:tcW w:w="1279" w:type="dxa"/>
            <w:tcBorders>
              <w:top w:val="nil"/>
              <w:left w:val="nil"/>
              <w:bottom w:val="nil"/>
              <w:right w:val="nil"/>
            </w:tcBorders>
            <w:shd w:val="clear" w:color="auto" w:fill="auto"/>
            <w:vAlign w:val="center"/>
          </w:tcPr>
          <w:p w:rsidR="00DD74E8" w:rsidRDefault="00DD74E8">
            <w:pPr>
              <w:jc w:val="center"/>
              <w:rPr>
                <w:rFonts w:ascii="Constantia" w:hAnsi="Constantia" w:cs="Arial"/>
                <w:sz w:val="18"/>
                <w:szCs w:val="18"/>
              </w:rPr>
            </w:pPr>
            <w:r>
              <w:rPr>
                <w:rFonts w:ascii="Constantia" w:hAnsi="Constantia" w:cs="Arial"/>
                <w:sz w:val="18"/>
                <w:szCs w:val="18"/>
              </w:rPr>
              <w:t>Standard</w:t>
            </w:r>
          </w:p>
        </w:tc>
        <w:tc>
          <w:tcPr>
            <w:tcW w:w="1202" w:type="dxa"/>
            <w:tcBorders>
              <w:top w:val="nil"/>
              <w:left w:val="nil"/>
              <w:bottom w:val="nil"/>
              <w:right w:val="nil"/>
            </w:tcBorders>
            <w:shd w:val="clear" w:color="auto" w:fill="auto"/>
            <w:vAlign w:val="center"/>
          </w:tcPr>
          <w:p w:rsidR="00DD74E8" w:rsidRDefault="00DD74E8">
            <w:pPr>
              <w:jc w:val="center"/>
              <w:rPr>
                <w:rFonts w:ascii="Constantia" w:hAnsi="Constantia" w:cs="Arial"/>
                <w:sz w:val="18"/>
                <w:szCs w:val="18"/>
              </w:rPr>
            </w:pPr>
            <w:proofErr w:type="spellStart"/>
            <w:r>
              <w:rPr>
                <w:rFonts w:ascii="Constantia" w:hAnsi="Constantia" w:cs="Arial"/>
                <w:sz w:val="18"/>
                <w:szCs w:val="18"/>
              </w:rPr>
              <w:t>Robust</w:t>
            </w:r>
            <w:proofErr w:type="spellEnd"/>
          </w:p>
        </w:tc>
        <w:tc>
          <w:tcPr>
            <w:tcW w:w="1279" w:type="dxa"/>
            <w:tcBorders>
              <w:top w:val="nil"/>
              <w:left w:val="nil"/>
              <w:bottom w:val="nil"/>
              <w:right w:val="nil"/>
            </w:tcBorders>
            <w:shd w:val="clear" w:color="auto" w:fill="auto"/>
            <w:vAlign w:val="center"/>
          </w:tcPr>
          <w:p w:rsidR="00DD74E8" w:rsidRDefault="00DD74E8">
            <w:pPr>
              <w:jc w:val="center"/>
              <w:rPr>
                <w:rFonts w:ascii="Constantia" w:hAnsi="Constantia" w:cs="Arial"/>
                <w:sz w:val="18"/>
                <w:szCs w:val="18"/>
              </w:rPr>
            </w:pPr>
            <w:r>
              <w:rPr>
                <w:rFonts w:ascii="Constantia" w:hAnsi="Constantia" w:cs="Arial"/>
                <w:sz w:val="18"/>
                <w:szCs w:val="18"/>
              </w:rPr>
              <w:t>Standard</w:t>
            </w:r>
          </w:p>
        </w:tc>
        <w:tc>
          <w:tcPr>
            <w:tcW w:w="1527" w:type="dxa"/>
            <w:tcBorders>
              <w:top w:val="nil"/>
              <w:left w:val="nil"/>
              <w:bottom w:val="nil"/>
              <w:right w:val="nil"/>
            </w:tcBorders>
            <w:shd w:val="clear" w:color="auto" w:fill="auto"/>
            <w:vAlign w:val="center"/>
          </w:tcPr>
          <w:p w:rsidR="00DD74E8" w:rsidRDefault="00DD74E8">
            <w:pPr>
              <w:jc w:val="center"/>
              <w:rPr>
                <w:rFonts w:ascii="Constantia" w:hAnsi="Constantia" w:cs="Arial"/>
                <w:sz w:val="18"/>
                <w:szCs w:val="18"/>
              </w:rPr>
            </w:pPr>
            <w:proofErr w:type="spellStart"/>
            <w:r>
              <w:rPr>
                <w:rFonts w:ascii="Constantia" w:hAnsi="Constantia" w:cs="Arial"/>
                <w:sz w:val="18"/>
                <w:szCs w:val="18"/>
              </w:rPr>
              <w:t>Robust</w:t>
            </w:r>
            <w:proofErr w:type="spellEnd"/>
          </w:p>
        </w:tc>
        <w:tc>
          <w:tcPr>
            <w:tcW w:w="1698" w:type="dxa"/>
            <w:tcBorders>
              <w:top w:val="nil"/>
              <w:left w:val="nil"/>
              <w:bottom w:val="nil"/>
              <w:right w:val="nil"/>
            </w:tcBorders>
            <w:shd w:val="clear" w:color="auto" w:fill="auto"/>
            <w:vAlign w:val="center"/>
          </w:tcPr>
          <w:p w:rsidR="00DD74E8" w:rsidRDefault="00DD74E8">
            <w:pPr>
              <w:rPr>
                <w:rFonts w:ascii="Constantia" w:hAnsi="Constantia" w:cs="Arial"/>
                <w:sz w:val="18"/>
                <w:szCs w:val="18"/>
              </w:rPr>
            </w:pPr>
            <w:r>
              <w:rPr>
                <w:rFonts w:ascii="Constantia" w:hAnsi="Constantia" w:cs="Arial"/>
                <w:sz w:val="18"/>
                <w:szCs w:val="18"/>
              </w:rPr>
              <w:t xml:space="preserve"> </w:t>
            </w:r>
            <w:proofErr w:type="spellStart"/>
            <w:r>
              <w:rPr>
                <w:rFonts w:ascii="Constantia" w:hAnsi="Constantia" w:cs="Arial"/>
                <w:sz w:val="18"/>
                <w:szCs w:val="18"/>
              </w:rPr>
              <w:t>Nonparametric</w:t>
            </w:r>
            <w:proofErr w:type="spellEnd"/>
          </w:p>
        </w:tc>
      </w:tr>
      <w:tr w:rsidR="00DD74E8" w:rsidTr="00DD74E8">
        <w:trPr>
          <w:trHeight w:val="255"/>
        </w:trPr>
        <w:tc>
          <w:tcPr>
            <w:tcW w:w="2795" w:type="dxa"/>
            <w:tcBorders>
              <w:top w:val="nil"/>
              <w:left w:val="nil"/>
              <w:bottom w:val="dashed" w:sz="4" w:space="0" w:color="auto"/>
              <w:right w:val="nil"/>
            </w:tcBorders>
            <w:shd w:val="clear" w:color="auto" w:fill="auto"/>
            <w:vAlign w:val="center"/>
          </w:tcPr>
          <w:p w:rsidR="00DD74E8" w:rsidRDefault="00DD74E8">
            <w:pPr>
              <w:rPr>
                <w:rFonts w:ascii="Arial" w:hAnsi="Arial" w:cs="Arial"/>
                <w:sz w:val="18"/>
                <w:szCs w:val="18"/>
              </w:rPr>
            </w:pPr>
            <w:r>
              <w:rPr>
                <w:rFonts w:ascii="Arial" w:hAnsi="Arial" w:cs="Arial"/>
                <w:sz w:val="18"/>
                <w:szCs w:val="18"/>
              </w:rPr>
              <w:t> </w:t>
            </w:r>
          </w:p>
        </w:tc>
        <w:tc>
          <w:tcPr>
            <w:tcW w:w="1279" w:type="dxa"/>
            <w:tcBorders>
              <w:top w:val="nil"/>
              <w:left w:val="nil"/>
              <w:bottom w:val="dashed" w:sz="4" w:space="0" w:color="auto"/>
              <w:right w:val="nil"/>
            </w:tcBorders>
            <w:shd w:val="clear" w:color="auto" w:fill="auto"/>
            <w:vAlign w:val="center"/>
          </w:tcPr>
          <w:p w:rsidR="00DD74E8" w:rsidRDefault="00DD74E8">
            <w:pPr>
              <w:jc w:val="center"/>
              <w:rPr>
                <w:rFonts w:ascii="Arial" w:hAnsi="Arial" w:cs="Arial"/>
                <w:sz w:val="18"/>
                <w:szCs w:val="18"/>
              </w:rPr>
            </w:pPr>
            <w:r>
              <w:rPr>
                <w:rFonts w:ascii="Arial" w:hAnsi="Arial" w:cs="Arial"/>
                <w:sz w:val="18"/>
                <w:szCs w:val="18"/>
              </w:rPr>
              <w:t> </w:t>
            </w:r>
          </w:p>
        </w:tc>
        <w:tc>
          <w:tcPr>
            <w:tcW w:w="1202" w:type="dxa"/>
            <w:tcBorders>
              <w:top w:val="nil"/>
              <w:left w:val="nil"/>
              <w:bottom w:val="dashed" w:sz="4" w:space="0" w:color="auto"/>
              <w:right w:val="nil"/>
            </w:tcBorders>
            <w:shd w:val="clear" w:color="auto" w:fill="auto"/>
            <w:vAlign w:val="center"/>
          </w:tcPr>
          <w:p w:rsidR="00DD74E8" w:rsidRDefault="00DD74E8">
            <w:pPr>
              <w:jc w:val="center"/>
              <w:rPr>
                <w:rFonts w:ascii="Arial" w:hAnsi="Arial" w:cs="Arial"/>
                <w:sz w:val="18"/>
                <w:szCs w:val="18"/>
              </w:rPr>
            </w:pPr>
            <w:r>
              <w:rPr>
                <w:rFonts w:ascii="Arial" w:hAnsi="Arial" w:cs="Arial"/>
                <w:sz w:val="18"/>
                <w:szCs w:val="18"/>
              </w:rPr>
              <w:t> </w:t>
            </w:r>
          </w:p>
        </w:tc>
        <w:tc>
          <w:tcPr>
            <w:tcW w:w="1279" w:type="dxa"/>
            <w:tcBorders>
              <w:top w:val="nil"/>
              <w:left w:val="nil"/>
              <w:bottom w:val="dashed" w:sz="4" w:space="0" w:color="auto"/>
              <w:right w:val="nil"/>
            </w:tcBorders>
            <w:shd w:val="clear" w:color="auto" w:fill="auto"/>
            <w:vAlign w:val="center"/>
          </w:tcPr>
          <w:p w:rsidR="00DD74E8" w:rsidRDefault="00DD74E8">
            <w:pPr>
              <w:jc w:val="center"/>
              <w:rPr>
                <w:rFonts w:ascii="Arial" w:hAnsi="Arial" w:cs="Arial"/>
                <w:sz w:val="18"/>
                <w:szCs w:val="18"/>
              </w:rPr>
            </w:pPr>
            <w:r>
              <w:rPr>
                <w:rFonts w:ascii="Arial" w:hAnsi="Arial" w:cs="Arial"/>
                <w:sz w:val="18"/>
                <w:szCs w:val="18"/>
              </w:rPr>
              <w:t> </w:t>
            </w:r>
          </w:p>
        </w:tc>
        <w:tc>
          <w:tcPr>
            <w:tcW w:w="1527" w:type="dxa"/>
            <w:tcBorders>
              <w:top w:val="nil"/>
              <w:left w:val="nil"/>
              <w:bottom w:val="dashed" w:sz="4" w:space="0" w:color="auto"/>
              <w:right w:val="nil"/>
            </w:tcBorders>
            <w:shd w:val="clear" w:color="auto" w:fill="auto"/>
            <w:vAlign w:val="center"/>
          </w:tcPr>
          <w:p w:rsidR="00DD74E8" w:rsidRDefault="00DD74E8">
            <w:pPr>
              <w:jc w:val="center"/>
              <w:rPr>
                <w:rFonts w:ascii="Arial" w:hAnsi="Arial" w:cs="Arial"/>
                <w:sz w:val="18"/>
                <w:szCs w:val="18"/>
              </w:rPr>
            </w:pPr>
            <w:r>
              <w:rPr>
                <w:rFonts w:ascii="Arial" w:hAnsi="Arial" w:cs="Arial"/>
                <w:sz w:val="18"/>
                <w:szCs w:val="18"/>
              </w:rPr>
              <w:t> </w:t>
            </w:r>
          </w:p>
        </w:tc>
        <w:tc>
          <w:tcPr>
            <w:tcW w:w="1698" w:type="dxa"/>
            <w:tcBorders>
              <w:top w:val="nil"/>
              <w:left w:val="nil"/>
              <w:bottom w:val="dashed" w:sz="4" w:space="0" w:color="auto"/>
              <w:right w:val="nil"/>
            </w:tcBorders>
            <w:shd w:val="clear" w:color="auto" w:fill="auto"/>
            <w:vAlign w:val="center"/>
          </w:tcPr>
          <w:p w:rsidR="00DD74E8" w:rsidRDefault="00DD74E8">
            <w:pPr>
              <w:jc w:val="center"/>
              <w:rPr>
                <w:rFonts w:ascii="Arial" w:hAnsi="Arial" w:cs="Arial"/>
                <w:sz w:val="18"/>
                <w:szCs w:val="18"/>
              </w:rPr>
            </w:pPr>
            <w:r>
              <w:rPr>
                <w:rFonts w:ascii="Arial" w:hAnsi="Arial" w:cs="Arial"/>
                <w:sz w:val="18"/>
                <w:szCs w:val="18"/>
              </w:rPr>
              <w:t> </w:t>
            </w:r>
          </w:p>
        </w:tc>
      </w:tr>
      <w:tr w:rsidR="00DD74E8" w:rsidTr="00DD74E8">
        <w:trPr>
          <w:trHeight w:val="255"/>
        </w:trPr>
        <w:tc>
          <w:tcPr>
            <w:tcW w:w="2795" w:type="dxa"/>
            <w:tcBorders>
              <w:top w:val="nil"/>
              <w:left w:val="nil"/>
              <w:bottom w:val="nil"/>
              <w:right w:val="nil"/>
            </w:tcBorders>
            <w:shd w:val="clear" w:color="auto" w:fill="auto"/>
            <w:vAlign w:val="center"/>
          </w:tcPr>
          <w:p w:rsidR="00DD74E8" w:rsidRDefault="00DD74E8">
            <w:pPr>
              <w:rPr>
                <w:rFonts w:ascii="Arial" w:hAnsi="Arial" w:cs="Arial"/>
                <w:sz w:val="18"/>
                <w:szCs w:val="18"/>
              </w:rPr>
            </w:pPr>
          </w:p>
        </w:tc>
        <w:tc>
          <w:tcPr>
            <w:tcW w:w="1279" w:type="dxa"/>
            <w:tcBorders>
              <w:top w:val="nil"/>
              <w:left w:val="nil"/>
              <w:bottom w:val="nil"/>
              <w:right w:val="nil"/>
            </w:tcBorders>
            <w:shd w:val="clear" w:color="auto" w:fill="auto"/>
            <w:vAlign w:val="center"/>
          </w:tcPr>
          <w:p w:rsidR="00DD74E8" w:rsidRDefault="00DD74E8">
            <w:pPr>
              <w:jc w:val="center"/>
              <w:rPr>
                <w:rFonts w:ascii="Arial" w:hAnsi="Arial" w:cs="Arial"/>
                <w:i/>
                <w:iCs/>
                <w:sz w:val="18"/>
                <w:szCs w:val="18"/>
              </w:rPr>
            </w:pPr>
          </w:p>
        </w:tc>
        <w:tc>
          <w:tcPr>
            <w:tcW w:w="1202" w:type="dxa"/>
            <w:tcBorders>
              <w:top w:val="nil"/>
              <w:left w:val="nil"/>
              <w:bottom w:val="nil"/>
              <w:right w:val="nil"/>
            </w:tcBorders>
            <w:shd w:val="clear" w:color="auto" w:fill="auto"/>
            <w:vAlign w:val="center"/>
          </w:tcPr>
          <w:p w:rsidR="00DD74E8" w:rsidRDefault="00DD74E8">
            <w:pPr>
              <w:jc w:val="center"/>
              <w:rPr>
                <w:rFonts w:ascii="Arial" w:hAnsi="Arial" w:cs="Arial"/>
                <w:i/>
                <w:iCs/>
                <w:sz w:val="18"/>
                <w:szCs w:val="18"/>
              </w:rPr>
            </w:pPr>
          </w:p>
        </w:tc>
        <w:tc>
          <w:tcPr>
            <w:tcW w:w="1279" w:type="dxa"/>
            <w:tcBorders>
              <w:top w:val="nil"/>
              <w:left w:val="nil"/>
              <w:bottom w:val="nil"/>
              <w:right w:val="nil"/>
            </w:tcBorders>
            <w:shd w:val="clear" w:color="auto" w:fill="auto"/>
            <w:vAlign w:val="center"/>
          </w:tcPr>
          <w:p w:rsidR="00DD74E8" w:rsidRDefault="00DD74E8">
            <w:pPr>
              <w:jc w:val="center"/>
              <w:rPr>
                <w:rFonts w:ascii="Arial" w:hAnsi="Arial" w:cs="Arial"/>
                <w:i/>
                <w:iCs/>
                <w:sz w:val="18"/>
                <w:szCs w:val="18"/>
              </w:rPr>
            </w:pPr>
          </w:p>
        </w:tc>
        <w:tc>
          <w:tcPr>
            <w:tcW w:w="1527" w:type="dxa"/>
            <w:tcBorders>
              <w:top w:val="nil"/>
              <w:left w:val="nil"/>
              <w:bottom w:val="nil"/>
              <w:right w:val="nil"/>
            </w:tcBorders>
            <w:shd w:val="clear" w:color="auto" w:fill="auto"/>
            <w:vAlign w:val="center"/>
          </w:tcPr>
          <w:p w:rsidR="00DD74E8" w:rsidRDefault="00DD74E8">
            <w:pPr>
              <w:jc w:val="center"/>
              <w:rPr>
                <w:rFonts w:ascii="Arial" w:hAnsi="Arial" w:cs="Arial"/>
                <w:i/>
                <w:iCs/>
                <w:sz w:val="18"/>
                <w:szCs w:val="18"/>
              </w:rPr>
            </w:pPr>
          </w:p>
        </w:tc>
        <w:tc>
          <w:tcPr>
            <w:tcW w:w="1698" w:type="dxa"/>
            <w:tcBorders>
              <w:top w:val="nil"/>
              <w:left w:val="nil"/>
              <w:bottom w:val="nil"/>
              <w:right w:val="nil"/>
            </w:tcBorders>
            <w:shd w:val="clear" w:color="auto" w:fill="auto"/>
            <w:vAlign w:val="center"/>
          </w:tcPr>
          <w:p w:rsidR="00DD74E8" w:rsidRDefault="00DD74E8">
            <w:pPr>
              <w:jc w:val="center"/>
              <w:rPr>
                <w:rFonts w:ascii="Arial" w:hAnsi="Arial" w:cs="Arial"/>
                <w:i/>
                <w:iCs/>
                <w:sz w:val="18"/>
                <w:szCs w:val="18"/>
              </w:rPr>
            </w:pPr>
          </w:p>
        </w:tc>
      </w:tr>
      <w:tr w:rsidR="00F53266" w:rsidTr="00DD74E8">
        <w:trPr>
          <w:trHeight w:val="255"/>
        </w:trPr>
        <w:tc>
          <w:tcPr>
            <w:tcW w:w="2795" w:type="dxa"/>
            <w:tcBorders>
              <w:top w:val="nil"/>
              <w:left w:val="nil"/>
              <w:bottom w:val="nil"/>
              <w:right w:val="nil"/>
            </w:tcBorders>
            <w:shd w:val="clear" w:color="auto" w:fill="auto"/>
            <w:noWrap/>
            <w:vAlign w:val="bottom"/>
          </w:tcPr>
          <w:p w:rsidR="00F53266" w:rsidRDefault="00F53266">
            <w:pPr>
              <w:rPr>
                <w:rFonts w:ascii="Arial" w:hAnsi="Arial" w:cs="Arial"/>
                <w:sz w:val="18"/>
                <w:szCs w:val="18"/>
              </w:rPr>
            </w:pPr>
            <w:r>
              <w:rPr>
                <w:rFonts w:ascii="Arial" w:hAnsi="Arial" w:cs="Arial"/>
                <w:sz w:val="18"/>
                <w:szCs w:val="18"/>
              </w:rPr>
              <w:t>N</w:t>
            </w:r>
          </w:p>
        </w:tc>
        <w:tc>
          <w:tcPr>
            <w:tcW w:w="1279" w:type="dxa"/>
            <w:tcBorders>
              <w:top w:val="nil"/>
              <w:left w:val="nil"/>
              <w:bottom w:val="nil"/>
              <w:right w:val="nil"/>
            </w:tcBorders>
            <w:shd w:val="clear" w:color="auto" w:fill="auto"/>
            <w:noWrap/>
            <w:vAlign w:val="bottom"/>
          </w:tcPr>
          <w:p w:rsidR="00F53266" w:rsidRDefault="00F53266">
            <w:pPr>
              <w:jc w:val="center"/>
              <w:rPr>
                <w:rFonts w:ascii="Arial" w:hAnsi="Arial" w:cs="Arial"/>
                <w:sz w:val="18"/>
                <w:szCs w:val="18"/>
              </w:rPr>
            </w:pPr>
            <w:r>
              <w:rPr>
                <w:rFonts w:ascii="Arial" w:hAnsi="Arial" w:cs="Arial"/>
                <w:sz w:val="18"/>
                <w:szCs w:val="18"/>
              </w:rPr>
              <w:t>1460</w:t>
            </w:r>
          </w:p>
        </w:tc>
        <w:tc>
          <w:tcPr>
            <w:tcW w:w="1202" w:type="dxa"/>
            <w:tcBorders>
              <w:top w:val="nil"/>
              <w:left w:val="nil"/>
              <w:bottom w:val="nil"/>
              <w:right w:val="nil"/>
            </w:tcBorders>
            <w:shd w:val="clear" w:color="auto" w:fill="auto"/>
            <w:noWrap/>
            <w:vAlign w:val="bottom"/>
          </w:tcPr>
          <w:p w:rsidR="00F53266" w:rsidRDefault="00F53266">
            <w:pPr>
              <w:jc w:val="center"/>
              <w:rPr>
                <w:rFonts w:ascii="Arial" w:hAnsi="Arial" w:cs="Arial"/>
                <w:sz w:val="18"/>
                <w:szCs w:val="18"/>
              </w:rPr>
            </w:pPr>
            <w:r>
              <w:rPr>
                <w:rFonts w:ascii="Arial" w:hAnsi="Arial" w:cs="Arial"/>
                <w:sz w:val="18"/>
                <w:szCs w:val="18"/>
              </w:rPr>
              <w:t>1460</w:t>
            </w:r>
          </w:p>
        </w:tc>
        <w:tc>
          <w:tcPr>
            <w:tcW w:w="1279" w:type="dxa"/>
            <w:tcBorders>
              <w:top w:val="nil"/>
              <w:left w:val="nil"/>
              <w:bottom w:val="nil"/>
              <w:right w:val="nil"/>
            </w:tcBorders>
            <w:shd w:val="clear" w:color="auto" w:fill="auto"/>
            <w:noWrap/>
            <w:vAlign w:val="bottom"/>
          </w:tcPr>
          <w:p w:rsidR="00F53266" w:rsidRDefault="00F53266">
            <w:pPr>
              <w:jc w:val="center"/>
              <w:rPr>
                <w:rFonts w:ascii="Arial" w:hAnsi="Arial" w:cs="Arial"/>
                <w:sz w:val="18"/>
                <w:szCs w:val="18"/>
              </w:rPr>
            </w:pPr>
            <w:r>
              <w:rPr>
                <w:rFonts w:ascii="Arial" w:hAnsi="Arial" w:cs="Arial"/>
                <w:sz w:val="18"/>
                <w:szCs w:val="18"/>
              </w:rPr>
              <w:t>1460</w:t>
            </w:r>
          </w:p>
        </w:tc>
        <w:tc>
          <w:tcPr>
            <w:tcW w:w="1527" w:type="dxa"/>
            <w:tcBorders>
              <w:top w:val="nil"/>
              <w:left w:val="nil"/>
              <w:bottom w:val="nil"/>
              <w:right w:val="nil"/>
            </w:tcBorders>
            <w:shd w:val="clear" w:color="auto" w:fill="auto"/>
            <w:noWrap/>
            <w:vAlign w:val="bottom"/>
          </w:tcPr>
          <w:p w:rsidR="00F53266" w:rsidRDefault="00F53266">
            <w:pPr>
              <w:jc w:val="center"/>
              <w:rPr>
                <w:rFonts w:ascii="Arial" w:hAnsi="Arial" w:cs="Arial"/>
                <w:sz w:val="18"/>
                <w:szCs w:val="18"/>
              </w:rPr>
            </w:pPr>
            <w:r>
              <w:rPr>
                <w:rFonts w:ascii="Arial" w:hAnsi="Arial" w:cs="Arial"/>
                <w:sz w:val="18"/>
                <w:szCs w:val="18"/>
              </w:rPr>
              <w:t>1460</w:t>
            </w:r>
          </w:p>
        </w:tc>
        <w:tc>
          <w:tcPr>
            <w:tcW w:w="1698" w:type="dxa"/>
            <w:tcBorders>
              <w:top w:val="nil"/>
              <w:left w:val="nil"/>
              <w:bottom w:val="nil"/>
              <w:right w:val="nil"/>
            </w:tcBorders>
            <w:shd w:val="clear" w:color="auto" w:fill="auto"/>
            <w:noWrap/>
            <w:vAlign w:val="bottom"/>
          </w:tcPr>
          <w:p w:rsidR="00F53266" w:rsidRDefault="00F53266">
            <w:pPr>
              <w:jc w:val="center"/>
              <w:rPr>
                <w:rFonts w:ascii="Arial" w:hAnsi="Arial" w:cs="Arial"/>
                <w:sz w:val="18"/>
                <w:szCs w:val="18"/>
              </w:rPr>
            </w:pPr>
            <w:r>
              <w:rPr>
                <w:rFonts w:ascii="Arial" w:hAnsi="Arial" w:cs="Arial"/>
                <w:sz w:val="18"/>
                <w:szCs w:val="18"/>
              </w:rPr>
              <w:t>1460</w:t>
            </w: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Default="00D57C9D">
            <w:pPr>
              <w:rPr>
                <w:rFonts w:ascii="Arial" w:hAnsi="Arial" w:cs="Arial"/>
                <w:sz w:val="18"/>
                <w:szCs w:val="18"/>
              </w:rPr>
            </w:pPr>
            <w:proofErr w:type="spellStart"/>
            <w:r>
              <w:rPr>
                <w:rFonts w:ascii="Arial" w:hAnsi="Arial" w:cs="Arial"/>
                <w:sz w:val="18"/>
                <w:szCs w:val="18"/>
              </w:rPr>
              <w:t>Mean</w:t>
            </w:r>
            <w:proofErr w:type="spellEnd"/>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93.0</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3.4</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Default="00D57C9D">
            <w:pPr>
              <w:rPr>
                <w:rFonts w:ascii="Arial" w:hAnsi="Arial" w:cs="Arial"/>
                <w:sz w:val="18"/>
                <w:szCs w:val="18"/>
              </w:rPr>
            </w:pPr>
            <w:proofErr w:type="spellStart"/>
            <w:r>
              <w:rPr>
                <w:rFonts w:ascii="Arial" w:hAnsi="Arial" w:cs="Arial"/>
                <w:sz w:val="18"/>
                <w:szCs w:val="18"/>
              </w:rPr>
              <w:t>Median</w:t>
            </w:r>
            <w:proofErr w:type="spellEnd"/>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88.0</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89.4</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3.4</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3.4</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r>
      <w:tr w:rsidR="00D57C9D" w:rsidRPr="00DD74E8" w:rsidTr="00DD74E8">
        <w:trPr>
          <w:trHeight w:val="255"/>
        </w:trPr>
        <w:tc>
          <w:tcPr>
            <w:tcW w:w="2795" w:type="dxa"/>
            <w:tcBorders>
              <w:top w:val="nil"/>
              <w:left w:val="nil"/>
              <w:bottom w:val="nil"/>
              <w:right w:val="nil"/>
            </w:tcBorders>
            <w:shd w:val="clear" w:color="auto" w:fill="auto"/>
            <w:noWrap/>
            <w:vAlign w:val="bottom"/>
          </w:tcPr>
          <w:p w:rsidR="00D57C9D" w:rsidRPr="00DD74E8" w:rsidRDefault="00D57C9D">
            <w:pPr>
              <w:rPr>
                <w:rFonts w:ascii="Arial" w:hAnsi="Arial" w:cs="Arial"/>
                <w:sz w:val="18"/>
                <w:szCs w:val="18"/>
              </w:rPr>
            </w:pPr>
            <w:r w:rsidRPr="00DD74E8">
              <w:rPr>
                <w:rFonts w:ascii="Arial" w:hAnsi="Arial" w:cs="Arial"/>
                <w:sz w:val="18"/>
                <w:szCs w:val="18"/>
              </w:rPr>
              <w:t>SD</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26.8</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27.2</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0.2</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0.2</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Default="00D57C9D">
            <w:pPr>
              <w:rPr>
                <w:rFonts w:ascii="Arial" w:hAnsi="Arial" w:cs="Arial"/>
                <w:sz w:val="18"/>
                <w:szCs w:val="18"/>
              </w:rPr>
            </w:pPr>
            <w:r>
              <w:rPr>
                <w:rFonts w:ascii="Arial" w:hAnsi="Arial" w:cs="Arial"/>
                <w:sz w:val="18"/>
                <w:szCs w:val="18"/>
              </w:rPr>
              <w:t>Minimum</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35.0</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35.0</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2.7</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2.7</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Default="00D57C9D">
            <w:pPr>
              <w:rPr>
                <w:rFonts w:ascii="Arial" w:hAnsi="Arial" w:cs="Arial"/>
                <w:sz w:val="18"/>
                <w:szCs w:val="18"/>
              </w:rPr>
            </w:pPr>
            <w:r>
              <w:rPr>
                <w:rFonts w:ascii="Arial" w:hAnsi="Arial" w:cs="Arial"/>
                <w:sz w:val="18"/>
                <w:szCs w:val="18"/>
              </w:rPr>
              <w:t>Maximum</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407.0</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407.0</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4.2</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4.2</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r>
      <w:tr w:rsidR="00DD74E8" w:rsidTr="00DD74E8">
        <w:trPr>
          <w:trHeight w:val="255"/>
        </w:trPr>
        <w:tc>
          <w:tcPr>
            <w:tcW w:w="2795" w:type="dxa"/>
            <w:tcBorders>
              <w:top w:val="nil"/>
              <w:left w:val="nil"/>
              <w:bottom w:val="dashed" w:sz="4" w:space="0" w:color="auto"/>
              <w:right w:val="nil"/>
            </w:tcBorders>
            <w:shd w:val="clear" w:color="auto" w:fill="auto"/>
            <w:noWrap/>
            <w:vAlign w:val="bottom"/>
          </w:tcPr>
          <w:p w:rsidR="00DD74E8" w:rsidRDefault="00DD74E8">
            <w:pPr>
              <w:rPr>
                <w:rFonts w:ascii="Arial" w:hAnsi="Arial" w:cs="Arial"/>
                <w:sz w:val="20"/>
                <w:szCs w:val="20"/>
              </w:rPr>
            </w:pPr>
            <w:r>
              <w:rPr>
                <w:rFonts w:ascii="Arial" w:hAnsi="Arial" w:cs="Arial"/>
                <w:sz w:val="20"/>
                <w:szCs w:val="20"/>
              </w:rPr>
              <w:t> </w:t>
            </w:r>
          </w:p>
        </w:tc>
        <w:tc>
          <w:tcPr>
            <w:tcW w:w="1279" w:type="dxa"/>
            <w:tcBorders>
              <w:top w:val="nil"/>
              <w:left w:val="nil"/>
              <w:bottom w:val="dashed" w:sz="4" w:space="0" w:color="auto"/>
              <w:right w:val="nil"/>
            </w:tcBorders>
            <w:shd w:val="clear" w:color="auto" w:fill="auto"/>
            <w:noWrap/>
            <w:vAlign w:val="bottom"/>
          </w:tcPr>
          <w:p w:rsidR="00DD74E8" w:rsidRDefault="00DD74E8">
            <w:pPr>
              <w:jc w:val="center"/>
              <w:rPr>
                <w:rFonts w:ascii="Arial" w:hAnsi="Arial" w:cs="Arial"/>
                <w:sz w:val="20"/>
                <w:szCs w:val="20"/>
              </w:rPr>
            </w:pPr>
            <w:r>
              <w:rPr>
                <w:rFonts w:ascii="Arial" w:hAnsi="Arial" w:cs="Arial"/>
                <w:sz w:val="20"/>
                <w:szCs w:val="20"/>
              </w:rPr>
              <w:t> </w:t>
            </w:r>
          </w:p>
        </w:tc>
        <w:tc>
          <w:tcPr>
            <w:tcW w:w="1202" w:type="dxa"/>
            <w:tcBorders>
              <w:top w:val="nil"/>
              <w:left w:val="nil"/>
              <w:bottom w:val="dashed" w:sz="4" w:space="0" w:color="auto"/>
              <w:right w:val="nil"/>
            </w:tcBorders>
            <w:shd w:val="clear" w:color="auto" w:fill="auto"/>
            <w:noWrap/>
            <w:vAlign w:val="bottom"/>
          </w:tcPr>
          <w:p w:rsidR="00DD74E8" w:rsidRDefault="00DD74E8">
            <w:pPr>
              <w:jc w:val="center"/>
              <w:rPr>
                <w:rFonts w:ascii="Arial" w:hAnsi="Arial" w:cs="Arial"/>
                <w:sz w:val="20"/>
                <w:szCs w:val="20"/>
              </w:rPr>
            </w:pPr>
            <w:r>
              <w:rPr>
                <w:rFonts w:ascii="Arial" w:hAnsi="Arial" w:cs="Arial"/>
                <w:sz w:val="20"/>
                <w:szCs w:val="20"/>
              </w:rPr>
              <w:t> </w:t>
            </w:r>
          </w:p>
        </w:tc>
        <w:tc>
          <w:tcPr>
            <w:tcW w:w="1279" w:type="dxa"/>
            <w:tcBorders>
              <w:top w:val="nil"/>
              <w:left w:val="nil"/>
              <w:bottom w:val="dashed" w:sz="4" w:space="0" w:color="auto"/>
              <w:right w:val="nil"/>
            </w:tcBorders>
            <w:shd w:val="clear" w:color="auto" w:fill="auto"/>
            <w:noWrap/>
            <w:vAlign w:val="bottom"/>
          </w:tcPr>
          <w:p w:rsidR="00DD74E8" w:rsidRDefault="00DD74E8">
            <w:pPr>
              <w:jc w:val="center"/>
              <w:rPr>
                <w:rFonts w:ascii="Arial" w:hAnsi="Arial" w:cs="Arial"/>
                <w:sz w:val="20"/>
                <w:szCs w:val="20"/>
              </w:rPr>
            </w:pPr>
            <w:r>
              <w:rPr>
                <w:rFonts w:ascii="Arial" w:hAnsi="Arial" w:cs="Arial"/>
                <w:sz w:val="20"/>
                <w:szCs w:val="20"/>
              </w:rPr>
              <w:t> </w:t>
            </w:r>
          </w:p>
        </w:tc>
        <w:tc>
          <w:tcPr>
            <w:tcW w:w="1527" w:type="dxa"/>
            <w:tcBorders>
              <w:top w:val="nil"/>
              <w:left w:val="nil"/>
              <w:bottom w:val="dashed" w:sz="4" w:space="0" w:color="auto"/>
              <w:right w:val="nil"/>
            </w:tcBorders>
            <w:shd w:val="clear" w:color="auto" w:fill="auto"/>
            <w:noWrap/>
            <w:vAlign w:val="bottom"/>
          </w:tcPr>
          <w:p w:rsidR="00DD74E8" w:rsidRDefault="00DD74E8">
            <w:pPr>
              <w:jc w:val="center"/>
              <w:rPr>
                <w:rFonts w:ascii="Arial" w:hAnsi="Arial" w:cs="Arial"/>
                <w:sz w:val="20"/>
                <w:szCs w:val="20"/>
              </w:rPr>
            </w:pPr>
            <w:r>
              <w:rPr>
                <w:rFonts w:ascii="Arial" w:hAnsi="Arial" w:cs="Arial"/>
                <w:sz w:val="20"/>
                <w:szCs w:val="20"/>
              </w:rPr>
              <w:t> </w:t>
            </w:r>
          </w:p>
        </w:tc>
        <w:tc>
          <w:tcPr>
            <w:tcW w:w="1698" w:type="dxa"/>
            <w:tcBorders>
              <w:top w:val="nil"/>
              <w:left w:val="nil"/>
              <w:bottom w:val="dashed" w:sz="4" w:space="0" w:color="auto"/>
              <w:right w:val="nil"/>
            </w:tcBorders>
            <w:shd w:val="clear" w:color="auto" w:fill="auto"/>
            <w:noWrap/>
            <w:vAlign w:val="bottom"/>
          </w:tcPr>
          <w:p w:rsidR="00DD74E8" w:rsidRDefault="00DD74E8">
            <w:pPr>
              <w:jc w:val="center"/>
              <w:rPr>
                <w:rFonts w:ascii="Arial" w:hAnsi="Arial" w:cs="Arial"/>
                <w:sz w:val="20"/>
                <w:szCs w:val="20"/>
              </w:rPr>
            </w:pPr>
            <w:r>
              <w:rPr>
                <w:rFonts w:ascii="Arial" w:hAnsi="Arial" w:cs="Arial"/>
                <w:sz w:val="20"/>
                <w:szCs w:val="20"/>
              </w:rPr>
              <w:t> </w:t>
            </w: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Default="00D57C9D" w:rsidP="00921BBD">
            <w:pPr>
              <w:rPr>
                <w:rFonts w:ascii="Arial" w:hAnsi="Arial" w:cs="Arial"/>
                <w:i/>
                <w:iCs/>
                <w:sz w:val="22"/>
                <w:szCs w:val="22"/>
              </w:rPr>
            </w:pPr>
            <w:r>
              <w:rPr>
                <w:rFonts w:ascii="Arial" w:hAnsi="Arial" w:cs="Arial"/>
                <w:i/>
                <w:iCs/>
                <w:sz w:val="22"/>
                <w:szCs w:val="22"/>
              </w:rPr>
              <w:t>λ</w:t>
            </w:r>
            <w:r>
              <w:rPr>
                <w:rFonts w:ascii="Arial" w:hAnsi="Arial" w:cs="Arial"/>
                <w:i/>
                <w:iCs/>
                <w:sz w:val="14"/>
                <w:szCs w:val="14"/>
              </w:rPr>
              <w:t>1</w:t>
            </w:r>
            <w:r>
              <w:rPr>
                <w:rFonts w:ascii="Arial" w:hAnsi="Arial" w:cs="Arial"/>
                <w:sz w:val="22"/>
                <w:szCs w:val="22"/>
              </w:rPr>
              <w:t xml:space="preserve"> </w:t>
            </w:r>
            <w:r>
              <w:rPr>
                <w:rFonts w:ascii="Arial" w:hAnsi="Arial" w:cs="Arial"/>
                <w:sz w:val="18"/>
                <w:szCs w:val="18"/>
              </w:rPr>
              <w:t xml:space="preserve">coefficient </w:t>
            </w:r>
            <w:r>
              <w:rPr>
                <w:rFonts w:ascii="Constantia" w:hAnsi="Constantia" w:cs="Arial"/>
                <w:b/>
                <w:bCs/>
                <w:sz w:val="18"/>
                <w:szCs w:val="18"/>
              </w:rPr>
              <w:t>Box-Cox</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-8.5</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-8.5</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r>
      <w:tr w:rsidR="00D57C9D" w:rsidTr="00DD74E8">
        <w:trPr>
          <w:trHeight w:val="285"/>
        </w:trPr>
        <w:tc>
          <w:tcPr>
            <w:tcW w:w="2795" w:type="dxa"/>
            <w:tcBorders>
              <w:top w:val="nil"/>
              <w:left w:val="nil"/>
              <w:bottom w:val="nil"/>
              <w:right w:val="nil"/>
            </w:tcBorders>
            <w:shd w:val="clear" w:color="auto" w:fill="auto"/>
            <w:noWrap/>
            <w:vAlign w:val="bottom"/>
          </w:tcPr>
          <w:p w:rsidR="00D57C9D" w:rsidRDefault="00D57C9D">
            <w:pPr>
              <w:rPr>
                <w:rFonts w:ascii="Arial" w:hAnsi="Arial" w:cs="Arial"/>
                <w:i/>
                <w:iCs/>
                <w:sz w:val="22"/>
                <w:szCs w:val="22"/>
              </w:rPr>
            </w:pPr>
            <w:r>
              <w:rPr>
                <w:rFonts w:ascii="Arial" w:hAnsi="Arial" w:cs="Arial"/>
                <w:i/>
                <w:iCs/>
                <w:sz w:val="22"/>
                <w:szCs w:val="22"/>
              </w:rPr>
              <w:t>λ</w:t>
            </w:r>
            <w:r w:rsidRPr="00C50586">
              <w:rPr>
                <w:rFonts w:ascii="Arial" w:hAnsi="Arial" w:cs="Arial"/>
                <w:i/>
                <w:iCs/>
                <w:sz w:val="14"/>
                <w:szCs w:val="14"/>
              </w:rPr>
              <w:t>2</w:t>
            </w:r>
            <w:r>
              <w:rPr>
                <w:rFonts w:ascii="Arial" w:hAnsi="Arial" w:cs="Arial"/>
                <w:sz w:val="22"/>
                <w:szCs w:val="22"/>
              </w:rPr>
              <w:t xml:space="preserve"> </w:t>
            </w:r>
            <w:r>
              <w:rPr>
                <w:rFonts w:ascii="Arial" w:hAnsi="Arial" w:cs="Arial"/>
                <w:sz w:val="18"/>
                <w:szCs w:val="18"/>
              </w:rPr>
              <w:t xml:space="preserve">coefficient </w:t>
            </w:r>
            <w:r>
              <w:rPr>
                <w:rFonts w:ascii="Constantia" w:hAnsi="Constantia" w:cs="Arial"/>
                <w:b/>
                <w:bCs/>
                <w:sz w:val="18"/>
                <w:szCs w:val="18"/>
              </w:rPr>
              <w:t>Box-Cox</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-0.126</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-0.126</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Default="00D57C9D">
            <w:pPr>
              <w:rPr>
                <w:rFonts w:ascii="Arial" w:hAnsi="Arial" w:cs="Arial"/>
                <w:sz w:val="18"/>
                <w:szCs w:val="18"/>
              </w:rPr>
            </w:pPr>
            <w:r>
              <w:rPr>
                <w:rFonts w:ascii="Arial" w:hAnsi="Arial" w:cs="Arial"/>
                <w:sz w:val="18"/>
                <w:szCs w:val="18"/>
              </w:rPr>
              <w:t xml:space="preserve">p-value </w:t>
            </w:r>
            <w:r>
              <w:rPr>
                <w:rFonts w:ascii="Constantia" w:hAnsi="Constantia" w:cs="Arial"/>
                <w:b/>
                <w:bCs/>
                <w:sz w:val="18"/>
                <w:szCs w:val="18"/>
              </w:rPr>
              <w:t>Anderson-Darling</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0.000</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0.000</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0.000</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0.000</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p>
        </w:tc>
      </w:tr>
      <w:tr w:rsidR="00C50586" w:rsidTr="00DD74E8">
        <w:trPr>
          <w:trHeight w:val="255"/>
        </w:trPr>
        <w:tc>
          <w:tcPr>
            <w:tcW w:w="2795" w:type="dxa"/>
            <w:tcBorders>
              <w:top w:val="nil"/>
              <w:left w:val="nil"/>
              <w:bottom w:val="dashed" w:sz="4" w:space="0" w:color="auto"/>
              <w:right w:val="nil"/>
            </w:tcBorders>
            <w:shd w:val="clear" w:color="auto" w:fill="auto"/>
            <w:noWrap/>
            <w:vAlign w:val="bottom"/>
          </w:tcPr>
          <w:p w:rsidR="00C50586" w:rsidRDefault="00C50586">
            <w:pPr>
              <w:rPr>
                <w:rFonts w:ascii="Arial" w:hAnsi="Arial" w:cs="Arial"/>
                <w:sz w:val="18"/>
                <w:szCs w:val="18"/>
              </w:rPr>
            </w:pPr>
            <w:r>
              <w:rPr>
                <w:rFonts w:ascii="Arial" w:hAnsi="Arial" w:cs="Arial"/>
                <w:sz w:val="18"/>
                <w:szCs w:val="18"/>
              </w:rPr>
              <w:t> </w:t>
            </w:r>
          </w:p>
        </w:tc>
        <w:tc>
          <w:tcPr>
            <w:tcW w:w="1279" w:type="dxa"/>
            <w:tcBorders>
              <w:top w:val="nil"/>
              <w:left w:val="nil"/>
              <w:bottom w:val="dashed" w:sz="4"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202" w:type="dxa"/>
            <w:tcBorders>
              <w:top w:val="nil"/>
              <w:left w:val="nil"/>
              <w:bottom w:val="dashed" w:sz="4"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279" w:type="dxa"/>
            <w:tcBorders>
              <w:top w:val="nil"/>
              <w:left w:val="nil"/>
              <w:bottom w:val="dashed" w:sz="4"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527" w:type="dxa"/>
            <w:tcBorders>
              <w:top w:val="nil"/>
              <w:left w:val="nil"/>
              <w:bottom w:val="dashed" w:sz="4"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698" w:type="dxa"/>
            <w:tcBorders>
              <w:top w:val="nil"/>
              <w:left w:val="nil"/>
              <w:bottom w:val="dashed" w:sz="4"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r>
      <w:tr w:rsidR="00C50586" w:rsidTr="00DD74E8">
        <w:trPr>
          <w:trHeight w:val="255"/>
        </w:trPr>
        <w:tc>
          <w:tcPr>
            <w:tcW w:w="2795" w:type="dxa"/>
            <w:tcBorders>
              <w:top w:val="nil"/>
              <w:left w:val="nil"/>
              <w:bottom w:val="nil"/>
              <w:right w:val="nil"/>
            </w:tcBorders>
            <w:shd w:val="clear" w:color="auto" w:fill="auto"/>
            <w:noWrap/>
            <w:vAlign w:val="bottom"/>
          </w:tcPr>
          <w:p w:rsidR="00C50586" w:rsidRDefault="00C50586">
            <w:pP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202"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527"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698"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r>
      <w:tr w:rsidR="00C50586" w:rsidTr="00DD74E8">
        <w:trPr>
          <w:trHeight w:val="255"/>
        </w:trPr>
        <w:tc>
          <w:tcPr>
            <w:tcW w:w="2795" w:type="dxa"/>
            <w:tcBorders>
              <w:top w:val="nil"/>
              <w:left w:val="nil"/>
              <w:bottom w:val="nil"/>
              <w:right w:val="nil"/>
            </w:tcBorders>
            <w:shd w:val="clear" w:color="auto" w:fill="auto"/>
            <w:noWrap/>
            <w:vAlign w:val="bottom"/>
          </w:tcPr>
          <w:p w:rsidR="00C50586" w:rsidRDefault="00C50586">
            <w:pPr>
              <w:rPr>
                <w:rFonts w:ascii="Arial" w:hAnsi="Arial" w:cs="Arial"/>
                <w:sz w:val="18"/>
                <w:szCs w:val="18"/>
              </w:rPr>
            </w:pPr>
            <w:proofErr w:type="spellStart"/>
            <w:r>
              <w:rPr>
                <w:rFonts w:ascii="Arial" w:hAnsi="Arial" w:cs="Arial"/>
                <w:sz w:val="18"/>
                <w:szCs w:val="18"/>
              </w:rPr>
              <w:t>Outliers</w:t>
            </w:r>
            <w:proofErr w:type="spellEnd"/>
            <w:r>
              <w:rPr>
                <w:rFonts w:ascii="Arial" w:hAnsi="Arial" w:cs="Arial"/>
                <w:sz w:val="18"/>
                <w:szCs w:val="18"/>
              </w:rPr>
              <w:t xml:space="preserve"> </w:t>
            </w:r>
            <w:r>
              <w:rPr>
                <w:rFonts w:ascii="Constantia" w:hAnsi="Constantia" w:cs="Arial"/>
                <w:b/>
                <w:bCs/>
                <w:sz w:val="18"/>
                <w:szCs w:val="18"/>
              </w:rPr>
              <w:t>Dixon</w:t>
            </w:r>
          </w:p>
        </w:tc>
        <w:tc>
          <w:tcPr>
            <w:tcW w:w="1279"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202"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527"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698"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r>
      <w:tr w:rsidR="00C50586" w:rsidTr="00DD74E8">
        <w:trPr>
          <w:trHeight w:val="255"/>
        </w:trPr>
        <w:tc>
          <w:tcPr>
            <w:tcW w:w="2795" w:type="dxa"/>
            <w:tcBorders>
              <w:top w:val="nil"/>
              <w:left w:val="nil"/>
              <w:bottom w:val="nil"/>
              <w:right w:val="nil"/>
            </w:tcBorders>
            <w:shd w:val="clear" w:color="auto" w:fill="auto"/>
            <w:noWrap/>
            <w:vAlign w:val="bottom"/>
          </w:tcPr>
          <w:p w:rsidR="00C50586" w:rsidRDefault="00C50586">
            <w:pPr>
              <w:rPr>
                <w:rFonts w:ascii="Arial" w:hAnsi="Arial" w:cs="Arial"/>
                <w:sz w:val="18"/>
                <w:szCs w:val="18"/>
              </w:rPr>
            </w:pPr>
            <w:proofErr w:type="spellStart"/>
            <w:r>
              <w:rPr>
                <w:rFonts w:ascii="Arial" w:hAnsi="Arial" w:cs="Arial"/>
                <w:sz w:val="18"/>
                <w:szCs w:val="18"/>
              </w:rPr>
              <w:t>Outliers</w:t>
            </w:r>
            <w:proofErr w:type="spellEnd"/>
            <w:r>
              <w:rPr>
                <w:rFonts w:ascii="Arial" w:hAnsi="Arial" w:cs="Arial"/>
                <w:sz w:val="18"/>
                <w:szCs w:val="18"/>
              </w:rPr>
              <w:t xml:space="preserve"> </w:t>
            </w:r>
            <w:proofErr w:type="spellStart"/>
            <w:r>
              <w:rPr>
                <w:rFonts w:ascii="Constantia" w:hAnsi="Constantia" w:cs="Arial"/>
                <w:b/>
                <w:bCs/>
                <w:sz w:val="18"/>
                <w:szCs w:val="18"/>
              </w:rPr>
              <w:t>Tukey</w:t>
            </w:r>
            <w:proofErr w:type="spellEnd"/>
          </w:p>
        </w:tc>
        <w:tc>
          <w:tcPr>
            <w:tcW w:w="1279"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8</w:t>
            </w:r>
          </w:p>
        </w:tc>
        <w:tc>
          <w:tcPr>
            <w:tcW w:w="1202"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8</w:t>
            </w:r>
          </w:p>
        </w:tc>
        <w:tc>
          <w:tcPr>
            <w:tcW w:w="1279"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1</w:t>
            </w:r>
          </w:p>
        </w:tc>
        <w:tc>
          <w:tcPr>
            <w:tcW w:w="1527"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1</w:t>
            </w:r>
          </w:p>
        </w:tc>
        <w:tc>
          <w:tcPr>
            <w:tcW w:w="1698"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r>
      <w:tr w:rsidR="00C50586" w:rsidTr="00DD74E8">
        <w:trPr>
          <w:trHeight w:val="255"/>
        </w:trPr>
        <w:tc>
          <w:tcPr>
            <w:tcW w:w="2795" w:type="dxa"/>
            <w:tcBorders>
              <w:top w:val="nil"/>
              <w:left w:val="nil"/>
              <w:bottom w:val="nil"/>
              <w:right w:val="nil"/>
            </w:tcBorders>
            <w:shd w:val="clear" w:color="auto" w:fill="auto"/>
            <w:noWrap/>
            <w:vAlign w:val="bottom"/>
          </w:tcPr>
          <w:p w:rsidR="00C50586" w:rsidRDefault="00C50586">
            <w:pPr>
              <w:rPr>
                <w:rFonts w:ascii="Arial" w:hAnsi="Arial" w:cs="Arial"/>
                <w:sz w:val="18"/>
                <w:szCs w:val="18"/>
              </w:rPr>
            </w:pPr>
            <w:r>
              <w:rPr>
                <w:rFonts w:ascii="Arial" w:hAnsi="Arial" w:cs="Arial"/>
                <w:sz w:val="18"/>
                <w:szCs w:val="18"/>
              </w:rPr>
              <w:t xml:space="preserve">Suspect data </w:t>
            </w:r>
            <w:proofErr w:type="spellStart"/>
            <w:r>
              <w:rPr>
                <w:rFonts w:ascii="Constantia" w:hAnsi="Constantia" w:cs="Arial"/>
                <w:b/>
                <w:bCs/>
                <w:sz w:val="18"/>
                <w:szCs w:val="18"/>
              </w:rPr>
              <w:t>Tukey</w:t>
            </w:r>
            <w:proofErr w:type="spellEnd"/>
          </w:p>
        </w:tc>
        <w:tc>
          <w:tcPr>
            <w:tcW w:w="1279"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28</w:t>
            </w:r>
          </w:p>
        </w:tc>
        <w:tc>
          <w:tcPr>
            <w:tcW w:w="1202"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28</w:t>
            </w:r>
          </w:p>
        </w:tc>
        <w:tc>
          <w:tcPr>
            <w:tcW w:w="1279" w:type="dxa"/>
            <w:tcBorders>
              <w:top w:val="nil"/>
              <w:left w:val="nil"/>
              <w:bottom w:val="nil"/>
              <w:right w:val="nil"/>
            </w:tcBorders>
            <w:shd w:val="clear" w:color="auto" w:fill="auto"/>
            <w:noWrap/>
            <w:vAlign w:val="bottom"/>
          </w:tcPr>
          <w:p w:rsidR="00C50586" w:rsidRDefault="00D57C9D">
            <w:pPr>
              <w:jc w:val="center"/>
              <w:rPr>
                <w:rFonts w:ascii="Arial" w:hAnsi="Arial" w:cs="Arial"/>
                <w:sz w:val="18"/>
                <w:szCs w:val="18"/>
              </w:rPr>
            </w:pPr>
            <w:r>
              <w:rPr>
                <w:rFonts w:ascii="Arial" w:hAnsi="Arial" w:cs="Arial"/>
                <w:sz w:val="18"/>
                <w:szCs w:val="18"/>
              </w:rPr>
              <w:t>26</w:t>
            </w:r>
          </w:p>
        </w:tc>
        <w:tc>
          <w:tcPr>
            <w:tcW w:w="1527"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2</w:t>
            </w:r>
            <w:r w:rsidR="00D57C9D">
              <w:rPr>
                <w:rFonts w:ascii="Arial" w:hAnsi="Arial" w:cs="Arial"/>
                <w:sz w:val="18"/>
                <w:szCs w:val="18"/>
              </w:rPr>
              <w:t>6</w:t>
            </w:r>
          </w:p>
        </w:tc>
        <w:tc>
          <w:tcPr>
            <w:tcW w:w="1698"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r>
      <w:tr w:rsidR="00C50586" w:rsidTr="00DD74E8">
        <w:trPr>
          <w:trHeight w:val="255"/>
        </w:trPr>
        <w:tc>
          <w:tcPr>
            <w:tcW w:w="2795" w:type="dxa"/>
            <w:tcBorders>
              <w:top w:val="nil"/>
              <w:left w:val="nil"/>
              <w:bottom w:val="dashed" w:sz="4" w:space="0" w:color="auto"/>
              <w:right w:val="nil"/>
            </w:tcBorders>
            <w:shd w:val="clear" w:color="auto" w:fill="auto"/>
            <w:noWrap/>
            <w:vAlign w:val="bottom"/>
          </w:tcPr>
          <w:p w:rsidR="00C50586" w:rsidRDefault="00C50586">
            <w:pPr>
              <w:rPr>
                <w:rFonts w:ascii="Arial" w:hAnsi="Arial" w:cs="Arial"/>
                <w:sz w:val="18"/>
                <w:szCs w:val="18"/>
              </w:rPr>
            </w:pPr>
            <w:r>
              <w:rPr>
                <w:rFonts w:ascii="Arial" w:hAnsi="Arial" w:cs="Arial"/>
                <w:sz w:val="18"/>
                <w:szCs w:val="18"/>
              </w:rPr>
              <w:t> </w:t>
            </w:r>
          </w:p>
        </w:tc>
        <w:tc>
          <w:tcPr>
            <w:tcW w:w="1279" w:type="dxa"/>
            <w:tcBorders>
              <w:top w:val="nil"/>
              <w:left w:val="nil"/>
              <w:bottom w:val="dashed" w:sz="4"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202" w:type="dxa"/>
            <w:tcBorders>
              <w:top w:val="nil"/>
              <w:left w:val="nil"/>
              <w:bottom w:val="dashed" w:sz="4"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279" w:type="dxa"/>
            <w:tcBorders>
              <w:top w:val="nil"/>
              <w:left w:val="nil"/>
              <w:bottom w:val="dashed" w:sz="4"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527" w:type="dxa"/>
            <w:tcBorders>
              <w:top w:val="nil"/>
              <w:left w:val="nil"/>
              <w:bottom w:val="dashed" w:sz="4"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698" w:type="dxa"/>
            <w:tcBorders>
              <w:top w:val="nil"/>
              <w:left w:val="nil"/>
              <w:bottom w:val="dashed" w:sz="4"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r>
      <w:tr w:rsidR="00C50586" w:rsidTr="00DD74E8">
        <w:trPr>
          <w:trHeight w:val="255"/>
        </w:trPr>
        <w:tc>
          <w:tcPr>
            <w:tcW w:w="2795" w:type="dxa"/>
            <w:tcBorders>
              <w:top w:val="nil"/>
              <w:left w:val="nil"/>
              <w:bottom w:val="nil"/>
              <w:right w:val="nil"/>
            </w:tcBorders>
            <w:shd w:val="clear" w:color="auto" w:fill="auto"/>
            <w:noWrap/>
            <w:vAlign w:val="bottom"/>
          </w:tcPr>
          <w:p w:rsidR="00C50586" w:rsidRDefault="00C50586">
            <w:pP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202"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527"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698"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Pr="00DD74E8" w:rsidRDefault="00D57C9D">
            <w:pPr>
              <w:rPr>
                <w:rFonts w:ascii="Arial" w:hAnsi="Arial" w:cs="Arial"/>
                <w:sz w:val="18"/>
                <w:szCs w:val="18"/>
                <w:lang w:val="en-GB"/>
              </w:rPr>
            </w:pPr>
            <w:r w:rsidRPr="00DD74E8">
              <w:rPr>
                <w:rFonts w:ascii="Arial" w:hAnsi="Arial" w:cs="Arial"/>
                <w:sz w:val="18"/>
                <w:szCs w:val="18"/>
                <w:lang w:val="en-GB"/>
              </w:rPr>
              <w:t>Lower limit of reference interval</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FF0000"/>
                <w:sz w:val="18"/>
                <w:szCs w:val="18"/>
              </w:rPr>
            </w:pPr>
            <w:r>
              <w:rPr>
                <w:rFonts w:ascii="Arial" w:hAnsi="Arial" w:cs="Arial"/>
                <w:b/>
                <w:bCs/>
                <w:color w:val="FF0000"/>
                <w:sz w:val="18"/>
                <w:szCs w:val="18"/>
              </w:rPr>
              <w:t>40.4</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FF6600"/>
                <w:sz w:val="18"/>
                <w:szCs w:val="18"/>
              </w:rPr>
            </w:pPr>
            <w:r>
              <w:rPr>
                <w:rFonts w:ascii="Arial" w:hAnsi="Arial" w:cs="Arial"/>
                <w:b/>
                <w:bCs/>
                <w:color w:val="FF6600"/>
                <w:sz w:val="18"/>
                <w:szCs w:val="18"/>
              </w:rPr>
              <w:t>36.0</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FF0000"/>
                <w:sz w:val="18"/>
                <w:szCs w:val="18"/>
              </w:rPr>
            </w:pPr>
            <w:r>
              <w:rPr>
                <w:rFonts w:ascii="Arial" w:hAnsi="Arial" w:cs="Arial"/>
                <w:b/>
                <w:bCs/>
                <w:color w:val="FF0000"/>
                <w:sz w:val="18"/>
                <w:szCs w:val="18"/>
              </w:rPr>
              <w:t>54.4</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FF6600"/>
                <w:sz w:val="18"/>
                <w:szCs w:val="18"/>
              </w:rPr>
            </w:pPr>
            <w:r>
              <w:rPr>
                <w:rFonts w:ascii="Arial" w:hAnsi="Arial" w:cs="Arial"/>
                <w:b/>
                <w:bCs/>
                <w:color w:val="FF6600"/>
                <w:sz w:val="18"/>
                <w:szCs w:val="18"/>
              </w:rPr>
              <w:t>54.6</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008000"/>
                <w:sz w:val="18"/>
                <w:szCs w:val="18"/>
              </w:rPr>
            </w:pPr>
            <w:r>
              <w:rPr>
                <w:rFonts w:ascii="Arial" w:hAnsi="Arial" w:cs="Arial"/>
                <w:b/>
                <w:bCs/>
                <w:color w:val="008000"/>
                <w:sz w:val="18"/>
                <w:szCs w:val="18"/>
              </w:rPr>
              <w:t>53.0</w:t>
            </w: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Pr="00DD74E8" w:rsidRDefault="00D57C9D">
            <w:pPr>
              <w:rPr>
                <w:rFonts w:ascii="Arial" w:hAnsi="Arial" w:cs="Arial"/>
                <w:sz w:val="18"/>
                <w:szCs w:val="18"/>
                <w:lang w:val="en-GB"/>
              </w:rPr>
            </w:pPr>
            <w:r w:rsidRPr="00DD74E8">
              <w:rPr>
                <w:rFonts w:ascii="Arial" w:hAnsi="Arial" w:cs="Arial"/>
                <w:sz w:val="18"/>
                <w:szCs w:val="18"/>
                <w:lang w:val="en-GB"/>
              </w:rPr>
              <w:t>Upper limit of reference interval</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FF0000"/>
                <w:sz w:val="18"/>
                <w:szCs w:val="18"/>
              </w:rPr>
            </w:pPr>
            <w:r>
              <w:rPr>
                <w:rFonts w:ascii="Arial" w:hAnsi="Arial" w:cs="Arial"/>
                <w:b/>
                <w:bCs/>
                <w:color w:val="FF0000"/>
                <w:sz w:val="18"/>
                <w:szCs w:val="18"/>
              </w:rPr>
              <w:t>145.5</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FF6600"/>
                <w:sz w:val="18"/>
                <w:szCs w:val="18"/>
              </w:rPr>
            </w:pPr>
            <w:r>
              <w:rPr>
                <w:rFonts w:ascii="Arial" w:hAnsi="Arial" w:cs="Arial"/>
                <w:b/>
                <w:bCs/>
                <w:color w:val="FF6600"/>
                <w:sz w:val="18"/>
                <w:szCs w:val="18"/>
              </w:rPr>
              <w:t>142.8</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FF0000"/>
                <w:sz w:val="18"/>
                <w:szCs w:val="18"/>
              </w:rPr>
            </w:pPr>
            <w:r>
              <w:rPr>
                <w:rFonts w:ascii="Arial" w:hAnsi="Arial" w:cs="Arial"/>
                <w:b/>
                <w:bCs/>
                <w:color w:val="FF0000"/>
                <w:sz w:val="18"/>
                <w:szCs w:val="18"/>
              </w:rPr>
              <w:t>155.3</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FF6600"/>
                <w:sz w:val="18"/>
                <w:szCs w:val="18"/>
              </w:rPr>
            </w:pPr>
            <w:r>
              <w:rPr>
                <w:rFonts w:ascii="Arial" w:hAnsi="Arial" w:cs="Arial"/>
                <w:b/>
                <w:bCs/>
                <w:color w:val="FF6600"/>
                <w:sz w:val="18"/>
                <w:szCs w:val="18"/>
              </w:rPr>
              <w:t>156.4</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008000"/>
                <w:sz w:val="18"/>
                <w:szCs w:val="18"/>
              </w:rPr>
            </w:pPr>
            <w:r>
              <w:rPr>
                <w:rFonts w:ascii="Arial" w:hAnsi="Arial" w:cs="Arial"/>
                <w:b/>
                <w:bCs/>
                <w:color w:val="008000"/>
                <w:sz w:val="18"/>
                <w:szCs w:val="18"/>
              </w:rPr>
              <w:t>150.5</w:t>
            </w: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Default="00D57C9D">
            <w:pP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D57C9D" w:rsidRPr="00FA59B7" w:rsidRDefault="00D57C9D">
            <w:pPr>
              <w:jc w:val="center"/>
              <w:rPr>
                <w:rFonts w:ascii="Arial" w:hAnsi="Arial" w:cs="Arial"/>
                <w:b/>
                <w:bCs/>
                <w:sz w:val="18"/>
                <w:szCs w:val="18"/>
              </w:rPr>
            </w:pPr>
          </w:p>
        </w:tc>
        <w:tc>
          <w:tcPr>
            <w:tcW w:w="1202" w:type="dxa"/>
            <w:tcBorders>
              <w:top w:val="nil"/>
              <w:left w:val="nil"/>
              <w:bottom w:val="nil"/>
              <w:right w:val="nil"/>
            </w:tcBorders>
            <w:shd w:val="clear" w:color="auto" w:fill="auto"/>
            <w:noWrap/>
            <w:vAlign w:val="bottom"/>
          </w:tcPr>
          <w:p w:rsidR="00D57C9D" w:rsidRPr="00FA59B7" w:rsidRDefault="00D57C9D">
            <w:pPr>
              <w:jc w:val="center"/>
              <w:rPr>
                <w:rFonts w:ascii="Arial" w:hAnsi="Arial" w:cs="Arial"/>
                <w:b/>
                <w:bCs/>
                <w:sz w:val="18"/>
                <w:szCs w:val="18"/>
              </w:rPr>
            </w:pP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FF0000"/>
                <w:sz w:val="18"/>
                <w:szCs w:val="18"/>
              </w:rPr>
            </w:pP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b/>
                <w:bCs/>
                <w:color w:val="FF9900"/>
                <w:sz w:val="18"/>
                <w:szCs w:val="18"/>
              </w:rPr>
            </w:pPr>
          </w:p>
        </w:tc>
        <w:tc>
          <w:tcPr>
            <w:tcW w:w="1698" w:type="dxa"/>
            <w:tcBorders>
              <w:top w:val="nil"/>
              <w:left w:val="nil"/>
              <w:bottom w:val="nil"/>
              <w:right w:val="nil"/>
            </w:tcBorders>
            <w:shd w:val="clear" w:color="auto" w:fill="auto"/>
            <w:noWrap/>
            <w:vAlign w:val="bottom"/>
          </w:tcPr>
          <w:p w:rsidR="00D57C9D" w:rsidRPr="00FA59B7" w:rsidRDefault="00D57C9D">
            <w:pPr>
              <w:jc w:val="center"/>
              <w:rPr>
                <w:rFonts w:ascii="Arial" w:hAnsi="Arial" w:cs="Arial"/>
                <w:b/>
                <w:bCs/>
                <w:sz w:val="18"/>
                <w:szCs w:val="18"/>
              </w:rPr>
            </w:pP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Default="00D57C9D">
            <w:pPr>
              <w:rPr>
                <w:rFonts w:ascii="Arial" w:hAnsi="Arial" w:cs="Arial"/>
                <w:sz w:val="18"/>
                <w:szCs w:val="18"/>
              </w:rPr>
            </w:pPr>
            <w:r>
              <w:rPr>
                <w:rFonts w:ascii="Arial" w:hAnsi="Arial" w:cs="Arial"/>
                <w:sz w:val="18"/>
                <w:szCs w:val="18"/>
              </w:rPr>
              <w:t xml:space="preserve">90% CI for </w:t>
            </w:r>
            <w:proofErr w:type="spellStart"/>
            <w:r>
              <w:rPr>
                <w:rFonts w:ascii="Arial" w:hAnsi="Arial" w:cs="Arial"/>
                <w:sz w:val="18"/>
                <w:szCs w:val="18"/>
              </w:rPr>
              <w:t>lower</w:t>
            </w:r>
            <w:proofErr w:type="spellEnd"/>
            <w:r>
              <w:rPr>
                <w:rFonts w:ascii="Arial" w:hAnsi="Arial" w:cs="Arial"/>
                <w:sz w:val="18"/>
                <w:szCs w:val="18"/>
              </w:rPr>
              <w:t xml:space="preserve"> </w:t>
            </w:r>
            <w:proofErr w:type="spellStart"/>
            <w:r>
              <w:rPr>
                <w:rFonts w:ascii="Arial" w:hAnsi="Arial" w:cs="Arial"/>
                <w:sz w:val="18"/>
                <w:szCs w:val="18"/>
              </w:rPr>
              <w:t>limit</w:t>
            </w:r>
            <w:proofErr w:type="spellEnd"/>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36.0</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31.4</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53.4</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53.6</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52.0</w:t>
            </w: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Default="00D57C9D">
            <w:pP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44.3</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40.3</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55.5</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55.7</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53.0</w:t>
            </w: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Default="00D57C9D">
            <w:pPr>
              <w:rPr>
                <w:rFonts w:ascii="Arial" w:hAnsi="Arial" w:cs="Arial"/>
                <w:sz w:val="18"/>
                <w:szCs w:val="18"/>
              </w:rPr>
            </w:pPr>
            <w:r>
              <w:rPr>
                <w:rFonts w:ascii="Arial" w:hAnsi="Arial" w:cs="Arial"/>
                <w:sz w:val="18"/>
                <w:szCs w:val="18"/>
              </w:rPr>
              <w:t xml:space="preserve">90% CI for </w:t>
            </w:r>
            <w:proofErr w:type="spellStart"/>
            <w:r>
              <w:rPr>
                <w:rFonts w:ascii="Arial" w:hAnsi="Arial" w:cs="Arial"/>
                <w:sz w:val="18"/>
                <w:szCs w:val="18"/>
              </w:rPr>
              <w:t>upper</w:t>
            </w:r>
            <w:proofErr w:type="spellEnd"/>
            <w:r>
              <w:rPr>
                <w:rFonts w:ascii="Arial" w:hAnsi="Arial" w:cs="Arial"/>
                <w:sz w:val="18"/>
                <w:szCs w:val="18"/>
              </w:rPr>
              <w:t xml:space="preserve"> </w:t>
            </w:r>
            <w:proofErr w:type="spellStart"/>
            <w:r>
              <w:rPr>
                <w:rFonts w:ascii="Arial" w:hAnsi="Arial" w:cs="Arial"/>
                <w:sz w:val="18"/>
                <w:szCs w:val="18"/>
              </w:rPr>
              <w:t>limit</w:t>
            </w:r>
            <w:proofErr w:type="spellEnd"/>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140.5</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138.3</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151.4</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152.4</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148.0</w:t>
            </w:r>
          </w:p>
        </w:tc>
      </w:tr>
      <w:tr w:rsidR="00D57C9D" w:rsidTr="00DD74E8">
        <w:trPr>
          <w:trHeight w:val="255"/>
        </w:trPr>
        <w:tc>
          <w:tcPr>
            <w:tcW w:w="2795" w:type="dxa"/>
            <w:tcBorders>
              <w:top w:val="nil"/>
              <w:left w:val="nil"/>
              <w:bottom w:val="nil"/>
              <w:right w:val="nil"/>
            </w:tcBorders>
            <w:shd w:val="clear" w:color="auto" w:fill="auto"/>
            <w:noWrap/>
            <w:vAlign w:val="bottom"/>
          </w:tcPr>
          <w:p w:rsidR="00D57C9D" w:rsidRDefault="00D57C9D">
            <w:pP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151.2</w:t>
            </w:r>
          </w:p>
        </w:tc>
        <w:tc>
          <w:tcPr>
            <w:tcW w:w="1202"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147.4</w:t>
            </w:r>
          </w:p>
        </w:tc>
        <w:tc>
          <w:tcPr>
            <w:tcW w:w="1279"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159.4</w:t>
            </w:r>
          </w:p>
        </w:tc>
        <w:tc>
          <w:tcPr>
            <w:tcW w:w="1527"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160.5</w:t>
            </w:r>
          </w:p>
        </w:tc>
        <w:tc>
          <w:tcPr>
            <w:tcW w:w="1698" w:type="dxa"/>
            <w:tcBorders>
              <w:top w:val="nil"/>
              <w:left w:val="nil"/>
              <w:bottom w:val="nil"/>
              <w:right w:val="nil"/>
            </w:tcBorders>
            <w:shd w:val="clear" w:color="auto" w:fill="auto"/>
            <w:noWrap/>
            <w:vAlign w:val="bottom"/>
          </w:tcPr>
          <w:p w:rsidR="00D57C9D" w:rsidRDefault="00D57C9D">
            <w:pPr>
              <w:jc w:val="center"/>
              <w:rPr>
                <w:rFonts w:ascii="Arial" w:hAnsi="Arial" w:cs="Arial"/>
                <w:sz w:val="18"/>
                <w:szCs w:val="18"/>
              </w:rPr>
            </w:pPr>
            <w:r>
              <w:rPr>
                <w:rFonts w:ascii="Arial" w:hAnsi="Arial" w:cs="Arial"/>
                <w:sz w:val="18"/>
                <w:szCs w:val="18"/>
              </w:rPr>
              <w:t>159.0</w:t>
            </w:r>
          </w:p>
        </w:tc>
      </w:tr>
      <w:tr w:rsidR="00C50586" w:rsidTr="00DD74E8">
        <w:trPr>
          <w:trHeight w:val="270"/>
        </w:trPr>
        <w:tc>
          <w:tcPr>
            <w:tcW w:w="2795" w:type="dxa"/>
            <w:tcBorders>
              <w:top w:val="nil"/>
              <w:left w:val="nil"/>
              <w:bottom w:val="double" w:sz="6" w:space="0" w:color="auto"/>
              <w:right w:val="nil"/>
            </w:tcBorders>
            <w:shd w:val="clear" w:color="auto" w:fill="auto"/>
            <w:noWrap/>
            <w:vAlign w:val="bottom"/>
          </w:tcPr>
          <w:p w:rsidR="00C50586" w:rsidRDefault="00C50586">
            <w:pPr>
              <w:rPr>
                <w:rFonts w:ascii="Arial" w:hAnsi="Arial" w:cs="Arial"/>
                <w:sz w:val="18"/>
                <w:szCs w:val="18"/>
              </w:rPr>
            </w:pPr>
            <w:r>
              <w:rPr>
                <w:rFonts w:ascii="Arial" w:hAnsi="Arial" w:cs="Arial"/>
                <w:sz w:val="18"/>
                <w:szCs w:val="18"/>
              </w:rPr>
              <w:t> </w:t>
            </w:r>
          </w:p>
        </w:tc>
        <w:tc>
          <w:tcPr>
            <w:tcW w:w="1279" w:type="dxa"/>
            <w:tcBorders>
              <w:top w:val="nil"/>
              <w:left w:val="nil"/>
              <w:bottom w:val="double" w:sz="6"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202" w:type="dxa"/>
            <w:tcBorders>
              <w:top w:val="nil"/>
              <w:left w:val="nil"/>
              <w:bottom w:val="double" w:sz="6"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279" w:type="dxa"/>
            <w:tcBorders>
              <w:top w:val="nil"/>
              <w:left w:val="nil"/>
              <w:bottom w:val="double" w:sz="6"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527" w:type="dxa"/>
            <w:tcBorders>
              <w:top w:val="nil"/>
              <w:left w:val="nil"/>
              <w:bottom w:val="double" w:sz="6"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c>
          <w:tcPr>
            <w:tcW w:w="1698" w:type="dxa"/>
            <w:tcBorders>
              <w:top w:val="nil"/>
              <w:left w:val="nil"/>
              <w:bottom w:val="double" w:sz="6" w:space="0" w:color="auto"/>
              <w:right w:val="nil"/>
            </w:tcBorders>
            <w:shd w:val="clear" w:color="auto" w:fill="auto"/>
            <w:noWrap/>
            <w:vAlign w:val="bottom"/>
          </w:tcPr>
          <w:p w:rsidR="00C50586" w:rsidRDefault="00C50586">
            <w:pPr>
              <w:jc w:val="center"/>
              <w:rPr>
                <w:rFonts w:ascii="Arial" w:hAnsi="Arial" w:cs="Arial"/>
                <w:sz w:val="18"/>
                <w:szCs w:val="18"/>
              </w:rPr>
            </w:pPr>
            <w:r>
              <w:rPr>
                <w:rFonts w:ascii="Arial" w:hAnsi="Arial" w:cs="Arial"/>
                <w:sz w:val="18"/>
                <w:szCs w:val="18"/>
              </w:rPr>
              <w:t> </w:t>
            </w:r>
          </w:p>
        </w:tc>
      </w:tr>
      <w:tr w:rsidR="00C50586" w:rsidTr="00DD74E8">
        <w:trPr>
          <w:trHeight w:val="270"/>
        </w:trPr>
        <w:tc>
          <w:tcPr>
            <w:tcW w:w="2795" w:type="dxa"/>
            <w:tcBorders>
              <w:top w:val="nil"/>
              <w:left w:val="nil"/>
              <w:bottom w:val="nil"/>
              <w:right w:val="nil"/>
            </w:tcBorders>
            <w:shd w:val="clear" w:color="auto" w:fill="auto"/>
            <w:noWrap/>
            <w:vAlign w:val="bottom"/>
          </w:tcPr>
          <w:p w:rsidR="00C50586" w:rsidRDefault="00C50586">
            <w:pP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202"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527"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c>
          <w:tcPr>
            <w:tcW w:w="1698" w:type="dxa"/>
            <w:tcBorders>
              <w:top w:val="nil"/>
              <w:left w:val="nil"/>
              <w:bottom w:val="nil"/>
              <w:right w:val="nil"/>
            </w:tcBorders>
            <w:shd w:val="clear" w:color="auto" w:fill="auto"/>
            <w:noWrap/>
            <w:vAlign w:val="bottom"/>
          </w:tcPr>
          <w:p w:rsidR="00C50586" w:rsidRDefault="00C50586">
            <w:pPr>
              <w:jc w:val="center"/>
              <w:rPr>
                <w:rFonts w:ascii="Arial" w:hAnsi="Arial" w:cs="Arial"/>
                <w:sz w:val="18"/>
                <w:szCs w:val="18"/>
              </w:rPr>
            </w:pPr>
          </w:p>
        </w:tc>
      </w:tr>
      <w:tr w:rsidR="00C50586" w:rsidTr="00DD74E8">
        <w:trPr>
          <w:trHeight w:val="255"/>
        </w:trPr>
        <w:tc>
          <w:tcPr>
            <w:tcW w:w="2795" w:type="dxa"/>
            <w:tcBorders>
              <w:top w:val="nil"/>
              <w:left w:val="nil"/>
              <w:bottom w:val="nil"/>
              <w:right w:val="nil"/>
            </w:tcBorders>
            <w:shd w:val="clear" w:color="auto" w:fill="auto"/>
            <w:noWrap/>
            <w:vAlign w:val="bottom"/>
          </w:tcPr>
          <w:p w:rsidR="00C50586" w:rsidRDefault="00C50586">
            <w:pPr>
              <w:rPr>
                <w:rFonts w:ascii="Constantia" w:hAnsi="Constantia" w:cs="Arial"/>
                <w:b/>
                <w:bCs/>
                <w:sz w:val="18"/>
                <w:szCs w:val="18"/>
              </w:rPr>
            </w:pPr>
            <w:proofErr w:type="spellStart"/>
            <w:r>
              <w:rPr>
                <w:rFonts w:ascii="Constantia" w:hAnsi="Constantia" w:cs="Arial"/>
                <w:b/>
                <w:bCs/>
                <w:sz w:val="18"/>
                <w:szCs w:val="18"/>
              </w:rPr>
              <w:t>Comments</w:t>
            </w:r>
            <w:proofErr w:type="spellEnd"/>
          </w:p>
        </w:tc>
        <w:tc>
          <w:tcPr>
            <w:tcW w:w="1279" w:type="dxa"/>
            <w:tcBorders>
              <w:top w:val="nil"/>
              <w:left w:val="nil"/>
              <w:bottom w:val="nil"/>
              <w:right w:val="nil"/>
            </w:tcBorders>
            <w:shd w:val="clear" w:color="auto" w:fill="auto"/>
            <w:noWrap/>
            <w:vAlign w:val="bottom"/>
          </w:tcPr>
          <w:p w:rsidR="00C50586" w:rsidRDefault="00C50586">
            <w:pPr>
              <w:rPr>
                <w:rFonts w:ascii="Arial" w:hAnsi="Arial" w:cs="Arial"/>
                <w:sz w:val="18"/>
                <w:szCs w:val="18"/>
              </w:rPr>
            </w:pPr>
          </w:p>
        </w:tc>
        <w:tc>
          <w:tcPr>
            <w:tcW w:w="1202" w:type="dxa"/>
            <w:tcBorders>
              <w:top w:val="nil"/>
              <w:left w:val="nil"/>
              <w:bottom w:val="nil"/>
              <w:right w:val="nil"/>
            </w:tcBorders>
            <w:shd w:val="clear" w:color="auto" w:fill="auto"/>
            <w:noWrap/>
            <w:vAlign w:val="bottom"/>
          </w:tcPr>
          <w:p w:rsidR="00C50586" w:rsidRDefault="00C50586">
            <w:pPr>
              <w:rPr>
                <w:rFonts w:ascii="Arial" w:hAnsi="Arial" w:cs="Arial"/>
                <w:sz w:val="18"/>
                <w:szCs w:val="18"/>
              </w:rPr>
            </w:pPr>
          </w:p>
        </w:tc>
        <w:tc>
          <w:tcPr>
            <w:tcW w:w="1279" w:type="dxa"/>
            <w:tcBorders>
              <w:top w:val="nil"/>
              <w:left w:val="nil"/>
              <w:bottom w:val="nil"/>
              <w:right w:val="nil"/>
            </w:tcBorders>
            <w:shd w:val="clear" w:color="auto" w:fill="auto"/>
            <w:noWrap/>
            <w:vAlign w:val="bottom"/>
          </w:tcPr>
          <w:p w:rsidR="00C50586" w:rsidRDefault="00C50586">
            <w:pPr>
              <w:rPr>
                <w:rFonts w:ascii="Arial" w:hAnsi="Arial" w:cs="Arial"/>
                <w:sz w:val="18"/>
                <w:szCs w:val="18"/>
              </w:rPr>
            </w:pPr>
          </w:p>
        </w:tc>
        <w:tc>
          <w:tcPr>
            <w:tcW w:w="1527" w:type="dxa"/>
            <w:tcBorders>
              <w:top w:val="nil"/>
              <w:left w:val="nil"/>
              <w:bottom w:val="nil"/>
              <w:right w:val="nil"/>
            </w:tcBorders>
            <w:shd w:val="clear" w:color="auto" w:fill="auto"/>
            <w:noWrap/>
            <w:vAlign w:val="bottom"/>
          </w:tcPr>
          <w:p w:rsidR="00C50586" w:rsidRDefault="00C50586">
            <w:pPr>
              <w:rPr>
                <w:rFonts w:ascii="Arial" w:hAnsi="Arial" w:cs="Arial"/>
                <w:sz w:val="18"/>
                <w:szCs w:val="18"/>
              </w:rPr>
            </w:pPr>
          </w:p>
        </w:tc>
        <w:tc>
          <w:tcPr>
            <w:tcW w:w="1698" w:type="dxa"/>
            <w:tcBorders>
              <w:top w:val="nil"/>
              <w:left w:val="nil"/>
              <w:bottom w:val="nil"/>
              <w:right w:val="nil"/>
            </w:tcBorders>
            <w:shd w:val="clear" w:color="auto" w:fill="auto"/>
            <w:noWrap/>
            <w:vAlign w:val="bottom"/>
          </w:tcPr>
          <w:p w:rsidR="00C50586" w:rsidRDefault="00C50586">
            <w:pPr>
              <w:rPr>
                <w:rFonts w:ascii="Arial" w:hAnsi="Arial" w:cs="Arial"/>
                <w:sz w:val="18"/>
                <w:szCs w:val="18"/>
              </w:rPr>
            </w:pPr>
          </w:p>
        </w:tc>
      </w:tr>
      <w:tr w:rsidR="00C50586" w:rsidRPr="00DD74E8" w:rsidTr="004B78F1">
        <w:trPr>
          <w:trHeight w:val="255"/>
        </w:trPr>
        <w:tc>
          <w:tcPr>
            <w:tcW w:w="9780" w:type="dxa"/>
            <w:gridSpan w:val="6"/>
            <w:tcBorders>
              <w:top w:val="nil"/>
              <w:left w:val="nil"/>
              <w:bottom w:val="nil"/>
              <w:right w:val="nil"/>
            </w:tcBorders>
            <w:shd w:val="clear" w:color="auto" w:fill="auto"/>
            <w:noWrap/>
            <w:vAlign w:val="bottom"/>
          </w:tcPr>
          <w:p w:rsidR="00C50586" w:rsidRPr="00C561B2" w:rsidRDefault="00C561B2" w:rsidP="00C561B2">
            <w:pPr>
              <w:rPr>
                <w:rFonts w:ascii="Arial" w:hAnsi="Arial" w:cs="Arial"/>
                <w:sz w:val="18"/>
                <w:szCs w:val="18"/>
                <w:lang w:val="en-GB"/>
              </w:rPr>
            </w:pPr>
            <w:r w:rsidRPr="00C561B2">
              <w:rPr>
                <w:rFonts w:ascii="Arial" w:hAnsi="Arial" w:cs="Arial"/>
                <w:sz w:val="18"/>
                <w:szCs w:val="18"/>
                <w:lang w:val="en-GB"/>
              </w:rPr>
              <w:t xml:space="preserve">Possible outliers detected according to </w:t>
            </w:r>
            <w:proofErr w:type="spellStart"/>
            <w:r w:rsidRPr="00C561B2">
              <w:rPr>
                <w:rFonts w:ascii="Arial" w:hAnsi="Arial" w:cs="Arial"/>
                <w:sz w:val="18"/>
                <w:szCs w:val="18"/>
                <w:lang w:val="en-GB"/>
              </w:rPr>
              <w:t>Tukey</w:t>
            </w:r>
            <w:proofErr w:type="spellEnd"/>
            <w:r w:rsidRPr="00C561B2">
              <w:rPr>
                <w:rFonts w:ascii="Arial" w:hAnsi="Arial" w:cs="Arial"/>
                <w:sz w:val="18"/>
                <w:szCs w:val="18"/>
                <w:lang w:val="en-GB"/>
              </w:rPr>
              <w:t xml:space="preserve"> or Dixon. IFCC-CLSI C28-A3 recommends that unless outliers are </w:t>
            </w:r>
          </w:p>
        </w:tc>
      </w:tr>
      <w:tr w:rsidR="00C50586" w:rsidRPr="00DD74E8" w:rsidTr="004B78F1">
        <w:trPr>
          <w:trHeight w:val="255"/>
        </w:trPr>
        <w:tc>
          <w:tcPr>
            <w:tcW w:w="9780" w:type="dxa"/>
            <w:gridSpan w:val="6"/>
            <w:tcBorders>
              <w:top w:val="nil"/>
              <w:left w:val="nil"/>
              <w:bottom w:val="nil"/>
              <w:right w:val="nil"/>
            </w:tcBorders>
            <w:shd w:val="clear" w:color="auto" w:fill="auto"/>
            <w:noWrap/>
            <w:vAlign w:val="bottom"/>
          </w:tcPr>
          <w:p w:rsidR="00C50586" w:rsidRPr="00DC2989" w:rsidRDefault="00C561B2" w:rsidP="00C561B2">
            <w:pPr>
              <w:rPr>
                <w:rFonts w:ascii="Arial" w:hAnsi="Arial" w:cs="Arial"/>
                <w:sz w:val="18"/>
                <w:szCs w:val="18"/>
                <w:lang w:val="en-GB"/>
              </w:rPr>
            </w:pPr>
            <w:proofErr w:type="gramStart"/>
            <w:r w:rsidRPr="00C561B2">
              <w:rPr>
                <w:rFonts w:ascii="Arial" w:hAnsi="Arial" w:cs="Arial"/>
                <w:sz w:val="18"/>
                <w:szCs w:val="18"/>
                <w:lang w:val="en-GB"/>
              </w:rPr>
              <w:t>known</w:t>
            </w:r>
            <w:proofErr w:type="gramEnd"/>
            <w:r w:rsidRPr="00C561B2">
              <w:rPr>
                <w:rFonts w:ascii="Arial" w:hAnsi="Arial" w:cs="Arial"/>
                <w:sz w:val="18"/>
                <w:szCs w:val="18"/>
                <w:lang w:val="en-GB"/>
              </w:rPr>
              <w:t xml:space="preserve"> to be aberrant observations, the emphasis should be on retaining rather than deleting them.</w:t>
            </w:r>
          </w:p>
        </w:tc>
      </w:tr>
      <w:tr w:rsidR="00C50586" w:rsidRPr="00DD74E8" w:rsidTr="004B78F1">
        <w:trPr>
          <w:trHeight w:val="255"/>
        </w:trPr>
        <w:tc>
          <w:tcPr>
            <w:tcW w:w="9780" w:type="dxa"/>
            <w:gridSpan w:val="6"/>
            <w:tcBorders>
              <w:top w:val="nil"/>
              <w:left w:val="nil"/>
              <w:bottom w:val="nil"/>
              <w:right w:val="nil"/>
            </w:tcBorders>
            <w:shd w:val="clear" w:color="auto" w:fill="auto"/>
            <w:noWrap/>
            <w:vAlign w:val="bottom"/>
          </w:tcPr>
          <w:p w:rsidR="00C50586" w:rsidRPr="00F53266" w:rsidRDefault="00C561B2" w:rsidP="00C561B2">
            <w:pPr>
              <w:rPr>
                <w:rFonts w:ascii="Arial" w:hAnsi="Arial" w:cs="Arial"/>
                <w:sz w:val="18"/>
                <w:szCs w:val="18"/>
                <w:lang w:val="en-GB"/>
              </w:rPr>
            </w:pPr>
            <w:r w:rsidRPr="00C561B2">
              <w:rPr>
                <w:rFonts w:ascii="Arial" w:hAnsi="Arial" w:cs="Arial"/>
                <w:sz w:val="18"/>
                <w:szCs w:val="18"/>
                <w:lang w:val="en-GB"/>
              </w:rPr>
              <w:t xml:space="preserve">The sample size is large enough to compute the nonparametric reference </w:t>
            </w:r>
            <w:proofErr w:type="gramStart"/>
            <w:r w:rsidRPr="00C561B2">
              <w:rPr>
                <w:rFonts w:ascii="Arial" w:hAnsi="Arial" w:cs="Arial"/>
                <w:sz w:val="18"/>
                <w:szCs w:val="18"/>
                <w:lang w:val="en-GB"/>
              </w:rPr>
              <w:t>interval :</w:t>
            </w:r>
            <w:proofErr w:type="gramEnd"/>
            <w:r w:rsidRPr="00C561B2">
              <w:rPr>
                <w:rFonts w:ascii="Arial" w:hAnsi="Arial" w:cs="Arial"/>
                <w:sz w:val="18"/>
                <w:szCs w:val="18"/>
                <w:lang w:val="en-GB"/>
              </w:rPr>
              <w:t xml:space="preserve"> [53 ; 150.5].</w:t>
            </w:r>
          </w:p>
        </w:tc>
      </w:tr>
      <w:tr w:rsidR="00C561B2" w:rsidRPr="00DD74E8" w:rsidTr="00C561B2">
        <w:trPr>
          <w:trHeight w:val="255"/>
        </w:trPr>
        <w:tc>
          <w:tcPr>
            <w:tcW w:w="9780" w:type="dxa"/>
            <w:gridSpan w:val="6"/>
            <w:tcBorders>
              <w:top w:val="nil"/>
              <w:left w:val="nil"/>
              <w:bottom w:val="nil"/>
              <w:right w:val="nil"/>
            </w:tcBorders>
            <w:shd w:val="clear" w:color="auto" w:fill="auto"/>
            <w:noWrap/>
            <w:vAlign w:val="bottom"/>
          </w:tcPr>
          <w:p w:rsidR="00C561B2" w:rsidRPr="00DD74E8" w:rsidRDefault="00C561B2">
            <w:pPr>
              <w:rPr>
                <w:rFonts w:ascii="Arial" w:hAnsi="Arial" w:cs="Arial"/>
                <w:sz w:val="20"/>
                <w:szCs w:val="20"/>
                <w:lang w:val="en-GB"/>
              </w:rPr>
            </w:pPr>
            <w:r w:rsidRPr="00C561B2">
              <w:rPr>
                <w:rFonts w:ascii="Arial" w:hAnsi="Arial" w:cs="Arial"/>
                <w:sz w:val="18"/>
                <w:szCs w:val="18"/>
                <w:lang w:val="en-GB"/>
              </w:rPr>
              <w:t>The 90% CI of one (or more) limit is larger than recommended in IFCC-CLSI C28-A3.</w:t>
            </w:r>
          </w:p>
        </w:tc>
      </w:tr>
      <w:tr w:rsidR="00C50586" w:rsidRPr="00DD74E8" w:rsidTr="00DD74E8">
        <w:trPr>
          <w:trHeight w:val="255"/>
        </w:trPr>
        <w:tc>
          <w:tcPr>
            <w:tcW w:w="2795" w:type="dxa"/>
            <w:tcBorders>
              <w:top w:val="nil"/>
              <w:left w:val="nil"/>
              <w:bottom w:val="nil"/>
              <w:right w:val="nil"/>
            </w:tcBorders>
            <w:shd w:val="clear" w:color="auto" w:fill="auto"/>
            <w:noWrap/>
            <w:vAlign w:val="bottom"/>
          </w:tcPr>
          <w:p w:rsidR="00C50586" w:rsidRPr="00DD74E8" w:rsidRDefault="00C50586">
            <w:pPr>
              <w:rPr>
                <w:rFonts w:ascii="Arial" w:hAnsi="Arial" w:cs="Arial"/>
                <w:sz w:val="18"/>
                <w:szCs w:val="18"/>
                <w:lang w:val="en-GB"/>
              </w:rPr>
            </w:pPr>
          </w:p>
        </w:tc>
        <w:tc>
          <w:tcPr>
            <w:tcW w:w="1279" w:type="dxa"/>
            <w:tcBorders>
              <w:top w:val="nil"/>
              <w:left w:val="nil"/>
              <w:bottom w:val="nil"/>
              <w:right w:val="nil"/>
            </w:tcBorders>
            <w:shd w:val="clear" w:color="auto" w:fill="auto"/>
            <w:noWrap/>
            <w:vAlign w:val="bottom"/>
          </w:tcPr>
          <w:p w:rsidR="00C50586" w:rsidRPr="00DD74E8" w:rsidRDefault="00C50586">
            <w:pPr>
              <w:rPr>
                <w:rFonts w:ascii="Arial" w:hAnsi="Arial" w:cs="Arial"/>
                <w:sz w:val="20"/>
                <w:szCs w:val="20"/>
                <w:lang w:val="en-GB"/>
              </w:rPr>
            </w:pPr>
          </w:p>
        </w:tc>
        <w:tc>
          <w:tcPr>
            <w:tcW w:w="1202" w:type="dxa"/>
            <w:tcBorders>
              <w:top w:val="nil"/>
              <w:left w:val="nil"/>
              <w:bottom w:val="nil"/>
              <w:right w:val="nil"/>
            </w:tcBorders>
            <w:shd w:val="clear" w:color="auto" w:fill="auto"/>
            <w:noWrap/>
            <w:vAlign w:val="bottom"/>
          </w:tcPr>
          <w:p w:rsidR="00C50586" w:rsidRPr="00DD74E8" w:rsidRDefault="00C50586">
            <w:pPr>
              <w:rPr>
                <w:rFonts w:ascii="Arial" w:hAnsi="Arial" w:cs="Arial"/>
                <w:sz w:val="20"/>
                <w:szCs w:val="20"/>
                <w:lang w:val="en-GB"/>
              </w:rPr>
            </w:pPr>
          </w:p>
        </w:tc>
        <w:tc>
          <w:tcPr>
            <w:tcW w:w="1279" w:type="dxa"/>
            <w:tcBorders>
              <w:top w:val="nil"/>
              <w:left w:val="nil"/>
              <w:bottom w:val="nil"/>
              <w:right w:val="nil"/>
            </w:tcBorders>
            <w:shd w:val="clear" w:color="auto" w:fill="auto"/>
            <w:noWrap/>
            <w:vAlign w:val="bottom"/>
          </w:tcPr>
          <w:p w:rsidR="00C50586" w:rsidRPr="00DD74E8" w:rsidRDefault="00C50586">
            <w:pPr>
              <w:rPr>
                <w:rFonts w:ascii="Arial" w:hAnsi="Arial" w:cs="Arial"/>
                <w:sz w:val="20"/>
                <w:szCs w:val="20"/>
                <w:lang w:val="en-GB"/>
              </w:rPr>
            </w:pPr>
          </w:p>
        </w:tc>
        <w:tc>
          <w:tcPr>
            <w:tcW w:w="1527" w:type="dxa"/>
            <w:tcBorders>
              <w:top w:val="nil"/>
              <w:left w:val="nil"/>
              <w:bottom w:val="nil"/>
              <w:right w:val="nil"/>
            </w:tcBorders>
            <w:shd w:val="clear" w:color="auto" w:fill="auto"/>
            <w:noWrap/>
            <w:vAlign w:val="bottom"/>
          </w:tcPr>
          <w:p w:rsidR="00C50586" w:rsidRPr="00DD74E8" w:rsidRDefault="00C50586">
            <w:pPr>
              <w:rPr>
                <w:rFonts w:ascii="Arial" w:hAnsi="Arial" w:cs="Arial"/>
                <w:sz w:val="20"/>
                <w:szCs w:val="20"/>
                <w:lang w:val="en-GB"/>
              </w:rPr>
            </w:pPr>
          </w:p>
        </w:tc>
        <w:tc>
          <w:tcPr>
            <w:tcW w:w="1698" w:type="dxa"/>
            <w:tcBorders>
              <w:top w:val="nil"/>
              <w:left w:val="nil"/>
              <w:bottom w:val="nil"/>
              <w:right w:val="nil"/>
            </w:tcBorders>
            <w:shd w:val="clear" w:color="auto" w:fill="auto"/>
            <w:noWrap/>
            <w:vAlign w:val="bottom"/>
          </w:tcPr>
          <w:p w:rsidR="00C50586" w:rsidRPr="00DD74E8" w:rsidRDefault="00C50586">
            <w:pPr>
              <w:rPr>
                <w:rFonts w:ascii="Arial" w:hAnsi="Arial" w:cs="Arial"/>
                <w:sz w:val="20"/>
                <w:szCs w:val="20"/>
                <w:lang w:val="en-GB"/>
              </w:rPr>
            </w:pPr>
          </w:p>
        </w:tc>
      </w:tr>
      <w:tr w:rsidR="00C50586" w:rsidRPr="00DD74E8" w:rsidTr="00DD74E8">
        <w:trPr>
          <w:trHeight w:val="270"/>
        </w:trPr>
        <w:tc>
          <w:tcPr>
            <w:tcW w:w="2795" w:type="dxa"/>
            <w:tcBorders>
              <w:top w:val="nil"/>
              <w:left w:val="nil"/>
              <w:bottom w:val="double" w:sz="6" w:space="0" w:color="auto"/>
              <w:right w:val="nil"/>
            </w:tcBorders>
            <w:shd w:val="clear" w:color="auto" w:fill="auto"/>
            <w:noWrap/>
            <w:vAlign w:val="bottom"/>
          </w:tcPr>
          <w:p w:rsidR="00C50586" w:rsidRPr="00DD74E8" w:rsidRDefault="00C50586">
            <w:pPr>
              <w:rPr>
                <w:rFonts w:ascii="Arial" w:hAnsi="Arial" w:cs="Arial"/>
                <w:sz w:val="18"/>
                <w:szCs w:val="18"/>
                <w:lang w:val="en-GB"/>
              </w:rPr>
            </w:pPr>
            <w:r w:rsidRPr="00DD74E8">
              <w:rPr>
                <w:rFonts w:ascii="Arial" w:hAnsi="Arial" w:cs="Arial"/>
                <w:sz w:val="18"/>
                <w:szCs w:val="18"/>
                <w:lang w:val="en-GB"/>
              </w:rPr>
              <w:t> </w:t>
            </w:r>
          </w:p>
        </w:tc>
        <w:tc>
          <w:tcPr>
            <w:tcW w:w="1279" w:type="dxa"/>
            <w:tcBorders>
              <w:top w:val="nil"/>
              <w:left w:val="nil"/>
              <w:bottom w:val="double" w:sz="6" w:space="0" w:color="auto"/>
              <w:right w:val="nil"/>
            </w:tcBorders>
            <w:shd w:val="clear" w:color="auto" w:fill="auto"/>
            <w:noWrap/>
            <w:vAlign w:val="bottom"/>
          </w:tcPr>
          <w:p w:rsidR="00C50586" w:rsidRPr="00DD74E8" w:rsidRDefault="00C50586">
            <w:pPr>
              <w:rPr>
                <w:rFonts w:ascii="Arial" w:hAnsi="Arial" w:cs="Arial"/>
                <w:sz w:val="20"/>
                <w:szCs w:val="20"/>
                <w:lang w:val="en-GB"/>
              </w:rPr>
            </w:pPr>
            <w:r w:rsidRPr="00DD74E8">
              <w:rPr>
                <w:rFonts w:ascii="Arial" w:hAnsi="Arial" w:cs="Arial"/>
                <w:sz w:val="20"/>
                <w:szCs w:val="20"/>
                <w:lang w:val="en-GB"/>
              </w:rPr>
              <w:t> </w:t>
            </w:r>
          </w:p>
        </w:tc>
        <w:tc>
          <w:tcPr>
            <w:tcW w:w="1202" w:type="dxa"/>
            <w:tcBorders>
              <w:top w:val="nil"/>
              <w:left w:val="nil"/>
              <w:bottom w:val="double" w:sz="6" w:space="0" w:color="auto"/>
              <w:right w:val="nil"/>
            </w:tcBorders>
            <w:shd w:val="clear" w:color="auto" w:fill="auto"/>
            <w:noWrap/>
            <w:vAlign w:val="bottom"/>
          </w:tcPr>
          <w:p w:rsidR="00C50586" w:rsidRPr="00DD74E8" w:rsidRDefault="00C50586">
            <w:pPr>
              <w:rPr>
                <w:rFonts w:ascii="Arial" w:hAnsi="Arial" w:cs="Arial"/>
                <w:sz w:val="20"/>
                <w:szCs w:val="20"/>
                <w:lang w:val="en-GB"/>
              </w:rPr>
            </w:pPr>
            <w:r w:rsidRPr="00DD74E8">
              <w:rPr>
                <w:rFonts w:ascii="Arial" w:hAnsi="Arial" w:cs="Arial"/>
                <w:sz w:val="20"/>
                <w:szCs w:val="20"/>
                <w:lang w:val="en-GB"/>
              </w:rPr>
              <w:t> </w:t>
            </w:r>
          </w:p>
        </w:tc>
        <w:tc>
          <w:tcPr>
            <w:tcW w:w="1279" w:type="dxa"/>
            <w:tcBorders>
              <w:top w:val="nil"/>
              <w:left w:val="nil"/>
              <w:bottom w:val="double" w:sz="6" w:space="0" w:color="auto"/>
              <w:right w:val="nil"/>
            </w:tcBorders>
            <w:shd w:val="clear" w:color="auto" w:fill="auto"/>
            <w:noWrap/>
            <w:vAlign w:val="bottom"/>
          </w:tcPr>
          <w:p w:rsidR="00C50586" w:rsidRPr="00DD74E8" w:rsidRDefault="00C50586">
            <w:pPr>
              <w:rPr>
                <w:rFonts w:ascii="Arial" w:hAnsi="Arial" w:cs="Arial"/>
                <w:sz w:val="20"/>
                <w:szCs w:val="20"/>
                <w:lang w:val="en-GB"/>
              </w:rPr>
            </w:pPr>
            <w:r w:rsidRPr="00DD74E8">
              <w:rPr>
                <w:rFonts w:ascii="Arial" w:hAnsi="Arial" w:cs="Arial"/>
                <w:sz w:val="20"/>
                <w:szCs w:val="20"/>
                <w:lang w:val="en-GB"/>
              </w:rPr>
              <w:t> </w:t>
            </w:r>
          </w:p>
        </w:tc>
        <w:tc>
          <w:tcPr>
            <w:tcW w:w="1527" w:type="dxa"/>
            <w:tcBorders>
              <w:top w:val="nil"/>
              <w:left w:val="nil"/>
              <w:bottom w:val="double" w:sz="6" w:space="0" w:color="auto"/>
              <w:right w:val="nil"/>
            </w:tcBorders>
            <w:shd w:val="clear" w:color="auto" w:fill="auto"/>
            <w:noWrap/>
            <w:vAlign w:val="bottom"/>
          </w:tcPr>
          <w:p w:rsidR="00C50586" w:rsidRPr="00DD74E8" w:rsidRDefault="00C50586">
            <w:pPr>
              <w:rPr>
                <w:rFonts w:ascii="Arial" w:hAnsi="Arial" w:cs="Arial"/>
                <w:sz w:val="20"/>
                <w:szCs w:val="20"/>
                <w:lang w:val="en-GB"/>
              </w:rPr>
            </w:pPr>
            <w:r w:rsidRPr="00DD74E8">
              <w:rPr>
                <w:rFonts w:ascii="Arial" w:hAnsi="Arial" w:cs="Arial"/>
                <w:sz w:val="20"/>
                <w:szCs w:val="20"/>
                <w:lang w:val="en-GB"/>
              </w:rPr>
              <w:t> </w:t>
            </w:r>
          </w:p>
        </w:tc>
        <w:tc>
          <w:tcPr>
            <w:tcW w:w="1698" w:type="dxa"/>
            <w:tcBorders>
              <w:top w:val="nil"/>
              <w:left w:val="nil"/>
              <w:bottom w:val="double" w:sz="6" w:space="0" w:color="auto"/>
              <w:right w:val="nil"/>
            </w:tcBorders>
            <w:shd w:val="clear" w:color="auto" w:fill="auto"/>
            <w:noWrap/>
            <w:vAlign w:val="bottom"/>
          </w:tcPr>
          <w:p w:rsidR="00C50586" w:rsidRPr="00DD74E8" w:rsidRDefault="00C50586">
            <w:pPr>
              <w:rPr>
                <w:rFonts w:ascii="Arial" w:hAnsi="Arial" w:cs="Arial"/>
                <w:sz w:val="20"/>
                <w:szCs w:val="20"/>
                <w:lang w:val="en-GB"/>
              </w:rPr>
            </w:pPr>
            <w:r w:rsidRPr="00DD74E8">
              <w:rPr>
                <w:rFonts w:ascii="Arial" w:hAnsi="Arial" w:cs="Arial"/>
                <w:sz w:val="20"/>
                <w:szCs w:val="20"/>
                <w:lang w:val="en-GB"/>
              </w:rPr>
              <w:t> </w:t>
            </w:r>
          </w:p>
        </w:tc>
      </w:tr>
    </w:tbl>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08717C" w:rsidRDefault="0008717C">
      <w:pPr>
        <w:rPr>
          <w:lang w:val="en-GB"/>
        </w:rPr>
      </w:pPr>
    </w:p>
    <w:p w:rsidR="00DA2B26" w:rsidRPr="00DC2989" w:rsidRDefault="00DA2B26">
      <w:pPr>
        <w:rPr>
          <w:lang w:val="en-GB"/>
        </w:rPr>
      </w:pPr>
    </w:p>
    <w:p w:rsidR="00DD74E8" w:rsidRPr="00DC2989" w:rsidRDefault="0002546D">
      <w:pPr>
        <w:rPr>
          <w:lang w:val="en-GB"/>
        </w:rPr>
      </w:pPr>
      <w:r>
        <w:rPr>
          <w:noProof/>
        </w:rPr>
        <w:lastRenderedPageBreak/>
        <w:drawing>
          <wp:inline distT="0" distB="0" distL="0" distR="0">
            <wp:extent cx="5758815" cy="21920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8815" cy="2192020"/>
                    </a:xfrm>
                    <a:prstGeom prst="rect">
                      <a:avLst/>
                    </a:prstGeom>
                    <a:noFill/>
                    <a:ln>
                      <a:noFill/>
                    </a:ln>
                  </pic:spPr>
                </pic:pic>
              </a:graphicData>
            </a:graphic>
          </wp:inline>
        </w:drawing>
      </w:r>
    </w:p>
    <w:p w:rsidR="00291F98" w:rsidRPr="00291F98" w:rsidRDefault="00291F98" w:rsidP="00291F98">
      <w:pPr>
        <w:rPr>
          <w:b/>
          <w:lang w:val="en-US"/>
        </w:rPr>
      </w:pPr>
    </w:p>
    <w:p w:rsidR="00291F98" w:rsidRDefault="00291F98">
      <w:pPr>
        <w:rPr>
          <w:b/>
          <w:lang w:val="en-US"/>
        </w:rPr>
      </w:pPr>
    </w:p>
    <w:p w:rsidR="00DD74E8" w:rsidRPr="00291F98" w:rsidRDefault="00291F98">
      <w:pPr>
        <w:rPr>
          <w:b/>
          <w:lang w:val="en-US"/>
        </w:rPr>
      </w:pPr>
      <w:r w:rsidRPr="00291F98">
        <w:rPr>
          <w:b/>
          <w:lang w:val="en-US"/>
        </w:rPr>
        <w:t>The standard method</w:t>
      </w:r>
    </w:p>
    <w:p w:rsidR="000A3A94" w:rsidRDefault="00934745">
      <w:pPr>
        <w:rPr>
          <w:lang w:val="en-US"/>
        </w:rPr>
      </w:pPr>
      <w:r w:rsidRPr="00934745">
        <w:rPr>
          <w:lang w:val="en-US"/>
        </w:rPr>
        <w:t xml:space="preserve">The standard method </w:t>
      </w:r>
      <w:r w:rsidR="00054B30">
        <w:rPr>
          <w:lang w:val="en-US"/>
        </w:rPr>
        <w:t xml:space="preserve">assumes </w:t>
      </w:r>
      <w:r w:rsidR="000A3A94">
        <w:rPr>
          <w:lang w:val="en-US"/>
        </w:rPr>
        <w:t xml:space="preserve">the data distribution is </w:t>
      </w:r>
      <w:r w:rsidR="00945592">
        <w:rPr>
          <w:lang w:val="en-US"/>
        </w:rPr>
        <w:t>Gaussian</w:t>
      </w:r>
      <w:r w:rsidR="000A3A94">
        <w:rPr>
          <w:lang w:val="en-US"/>
        </w:rPr>
        <w:t xml:space="preserve"> and the </w:t>
      </w:r>
      <w:r w:rsidR="00945592">
        <w:rPr>
          <w:lang w:val="en-US"/>
        </w:rPr>
        <w:t xml:space="preserve">95% </w:t>
      </w:r>
      <w:r w:rsidR="000A3A94">
        <w:rPr>
          <w:lang w:val="en-US"/>
        </w:rPr>
        <w:t xml:space="preserve">reference interval </w:t>
      </w:r>
      <w:r w:rsidR="008C0CD8">
        <w:rPr>
          <w:lang w:val="en-US"/>
        </w:rPr>
        <w:t xml:space="preserve">is computed </w:t>
      </w:r>
      <w:r w:rsidR="000A3A94">
        <w:rPr>
          <w:lang w:val="en-US"/>
        </w:rPr>
        <w:t>as</w:t>
      </w:r>
    </w:p>
    <w:p w:rsidR="00DD74E8" w:rsidRPr="00934745" w:rsidRDefault="00BD546B" w:rsidP="000A3A94">
      <w:pPr>
        <w:jc w:val="center"/>
        <w:rPr>
          <w:lang w:val="en-US"/>
        </w:rPr>
      </w:pPr>
      <w:r w:rsidRPr="000A3A94">
        <w:rPr>
          <w:position w:val="-34"/>
          <w:lang w:val="en-US"/>
        </w:rPr>
        <w:object w:dxaOrig="378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15pt;height:40.05pt" o:ole="">
            <v:imagedata r:id="rId11" o:title=""/>
          </v:shape>
          <o:OLEObject Type="Embed" ProgID="Equation.3" ShapeID="_x0000_i1025" DrawAspect="Content" ObjectID="_1384148032" r:id="rId12"/>
        </w:object>
      </w:r>
      <w:r w:rsidR="0031105B">
        <w:rPr>
          <w:lang w:val="en-US"/>
        </w:rPr>
        <w:tab/>
      </w:r>
      <w:r w:rsidR="0031105B">
        <w:rPr>
          <w:lang w:val="en-US"/>
        </w:rPr>
        <w:tab/>
        <w:t>(eq. 1)</w:t>
      </w:r>
    </w:p>
    <w:p w:rsidR="00DD74E8" w:rsidRPr="00934745" w:rsidRDefault="000A3A94">
      <w:pPr>
        <w:rPr>
          <w:lang w:val="en-US"/>
        </w:rPr>
      </w:pPr>
      <w:proofErr w:type="gramStart"/>
      <w:r>
        <w:rPr>
          <w:lang w:val="en-US"/>
        </w:rPr>
        <w:t>where</w:t>
      </w:r>
      <w:proofErr w:type="gramEnd"/>
      <w:r>
        <w:rPr>
          <w:lang w:val="en-US"/>
        </w:rPr>
        <w:t xml:space="preserve"> </w:t>
      </w:r>
    </w:p>
    <w:p w:rsidR="000A3A94" w:rsidRPr="000A3A94" w:rsidRDefault="00BD546B">
      <w:pPr>
        <w:rPr>
          <w:lang w:val="en-GB"/>
        </w:rPr>
      </w:pPr>
      <w:r w:rsidRPr="00BD546B">
        <w:rPr>
          <w:i/>
          <w:lang w:val="en-GB"/>
        </w:rPr>
        <w:t>N</w:t>
      </w:r>
      <w:r w:rsidR="000A3A94" w:rsidRPr="000A3A94">
        <w:rPr>
          <w:i/>
          <w:lang w:val="en-GB"/>
        </w:rPr>
        <w:t xml:space="preserve"> </w:t>
      </w:r>
      <w:r w:rsidR="000A3A94" w:rsidRPr="000A3A94">
        <w:rPr>
          <w:lang w:val="en-GB"/>
        </w:rPr>
        <w:t>is the sample size</w:t>
      </w:r>
      <w:r w:rsidR="0031105B">
        <w:rPr>
          <w:lang w:val="en-GB"/>
        </w:rPr>
        <w:t xml:space="preserve"> named as N in the output table</w:t>
      </w:r>
      <w:r w:rsidR="000A3A94" w:rsidRPr="000A3A94">
        <w:rPr>
          <w:lang w:val="en-GB"/>
        </w:rPr>
        <w:t>,</w:t>
      </w:r>
    </w:p>
    <w:p w:rsidR="00DD74E8" w:rsidRDefault="000A3A94">
      <w:pPr>
        <w:rPr>
          <w:lang w:val="en-GB"/>
        </w:rPr>
      </w:pPr>
      <w:r w:rsidRPr="0009764F">
        <w:rPr>
          <w:position w:val="-6"/>
        </w:rPr>
        <w:object w:dxaOrig="260" w:dyaOrig="279">
          <v:shape id="_x0000_i1026" type="#_x0000_t75" style="width:13.2pt;height:14.2pt" o:ole="">
            <v:imagedata r:id="rId13" o:title=""/>
          </v:shape>
          <o:OLEObject Type="Embed" ProgID="Equation.3" ShapeID="_x0000_i1026" DrawAspect="Content" ObjectID="_1384148033" r:id="rId14"/>
        </w:object>
      </w:r>
      <w:r w:rsidRPr="000A3A94">
        <w:rPr>
          <w:lang w:val="en-GB"/>
        </w:rPr>
        <w:t xml:space="preserve"> </w:t>
      </w:r>
      <w:proofErr w:type="gramStart"/>
      <w:r w:rsidRPr="000A3A94">
        <w:rPr>
          <w:lang w:val="en-GB"/>
        </w:rPr>
        <w:t>is</w:t>
      </w:r>
      <w:proofErr w:type="gramEnd"/>
      <w:r w:rsidRPr="000A3A94">
        <w:rPr>
          <w:lang w:val="en-GB"/>
        </w:rPr>
        <w:t xml:space="preserve"> the </w:t>
      </w:r>
      <w:r w:rsidR="0031105B">
        <w:rPr>
          <w:lang w:val="en-GB"/>
        </w:rPr>
        <w:t xml:space="preserve">sample </w:t>
      </w:r>
      <w:r w:rsidR="00181654">
        <w:rPr>
          <w:lang w:val="en-GB"/>
        </w:rPr>
        <w:t>mean</w:t>
      </w:r>
      <w:r w:rsidR="0031105B">
        <w:rPr>
          <w:lang w:val="en-GB"/>
        </w:rPr>
        <w:t xml:space="preserve">. Its value is given in the </w:t>
      </w:r>
      <w:r w:rsidR="0031105B" w:rsidRPr="0031105B">
        <w:rPr>
          <w:rFonts w:ascii="Arial" w:hAnsi="Arial" w:cs="Arial"/>
          <w:sz w:val="18"/>
          <w:szCs w:val="18"/>
          <w:lang w:val="en-GB"/>
        </w:rPr>
        <w:t>Mean</w:t>
      </w:r>
      <w:r w:rsidR="0031105B">
        <w:rPr>
          <w:lang w:val="en-GB"/>
        </w:rPr>
        <w:t xml:space="preserve"> row</w:t>
      </w:r>
      <w:r w:rsidR="00415F51">
        <w:rPr>
          <w:lang w:val="en-GB"/>
        </w:rPr>
        <w:t xml:space="preserve">, </w:t>
      </w:r>
    </w:p>
    <w:p w:rsidR="000A3A94" w:rsidRPr="000A3A94" w:rsidRDefault="000A3A94">
      <w:pPr>
        <w:rPr>
          <w:lang w:val="en-GB"/>
        </w:rPr>
      </w:pPr>
      <w:r w:rsidRPr="0009764F">
        <w:rPr>
          <w:position w:val="-6"/>
        </w:rPr>
        <w:object w:dxaOrig="240" w:dyaOrig="279">
          <v:shape id="_x0000_i1027" type="#_x0000_t75" style="width:12.15pt;height:14.2pt" o:ole="">
            <v:imagedata r:id="rId15" o:title=""/>
          </v:shape>
          <o:OLEObject Type="Embed" ProgID="Equation.3" ShapeID="_x0000_i1027" DrawAspect="Content" ObjectID="_1384148034" r:id="rId16"/>
        </w:object>
      </w:r>
      <w:r w:rsidRPr="000A3A94">
        <w:rPr>
          <w:lang w:val="en-GB"/>
        </w:rPr>
        <w:t xml:space="preserve"> </w:t>
      </w:r>
      <w:proofErr w:type="gramStart"/>
      <w:r w:rsidRPr="000A3A94">
        <w:rPr>
          <w:lang w:val="en-GB"/>
        </w:rPr>
        <w:t>is</w:t>
      </w:r>
      <w:proofErr w:type="gramEnd"/>
      <w:r w:rsidRPr="000A3A94">
        <w:rPr>
          <w:lang w:val="en-GB"/>
        </w:rPr>
        <w:t xml:space="preserve"> the</w:t>
      </w:r>
      <w:r w:rsidR="0031105B">
        <w:rPr>
          <w:lang w:val="en-GB"/>
        </w:rPr>
        <w:t xml:space="preserve"> sample</w:t>
      </w:r>
      <w:r w:rsidRPr="000A3A94">
        <w:rPr>
          <w:lang w:val="en-GB"/>
        </w:rPr>
        <w:t xml:space="preserve"> standard deviation </w:t>
      </w:r>
      <w:r w:rsidR="0031105B">
        <w:rPr>
          <w:lang w:val="en-GB"/>
        </w:rPr>
        <w:t xml:space="preserve">whose value is given in the </w:t>
      </w:r>
      <w:r w:rsidR="0031105B" w:rsidRPr="0031105B">
        <w:rPr>
          <w:rFonts w:ascii="Arial" w:hAnsi="Arial" w:cs="Arial"/>
          <w:sz w:val="18"/>
          <w:szCs w:val="18"/>
          <w:lang w:val="en-GB"/>
        </w:rPr>
        <w:t>SD</w:t>
      </w:r>
      <w:r w:rsidR="0031105B">
        <w:rPr>
          <w:lang w:val="en-GB"/>
        </w:rPr>
        <w:t xml:space="preserve"> row</w:t>
      </w:r>
      <w:r w:rsidR="0026374A">
        <w:rPr>
          <w:lang w:val="en-GB"/>
        </w:rPr>
        <w:t>,</w:t>
      </w:r>
    </w:p>
    <w:p w:rsidR="000A3A94" w:rsidRDefault="00524A8C">
      <w:pPr>
        <w:rPr>
          <w:lang w:val="en-GB"/>
        </w:rPr>
      </w:pPr>
      <w:r w:rsidRPr="00181654">
        <w:rPr>
          <w:position w:val="-12"/>
        </w:rPr>
        <w:object w:dxaOrig="480" w:dyaOrig="380">
          <v:shape id="_x0000_i1028" type="#_x0000_t75" style="width:23.85pt;height:18.75pt" o:ole="">
            <v:imagedata r:id="rId17" o:title=""/>
          </v:shape>
          <o:OLEObject Type="Embed" ProgID="Equation.3" ShapeID="_x0000_i1028" DrawAspect="Content" ObjectID="_1384148035" r:id="rId18"/>
        </w:object>
      </w:r>
      <w:r w:rsidR="000A3A94" w:rsidRPr="000A3A94">
        <w:rPr>
          <w:lang w:val="en-GB"/>
        </w:rPr>
        <w:t xml:space="preserve"> </w:t>
      </w:r>
      <w:proofErr w:type="gramStart"/>
      <w:r w:rsidR="000A3A94" w:rsidRPr="000A3A94">
        <w:rPr>
          <w:lang w:val="en-GB"/>
        </w:rPr>
        <w:t>is</w:t>
      </w:r>
      <w:proofErr w:type="gramEnd"/>
      <w:r w:rsidR="000A3A94" w:rsidRPr="000A3A94">
        <w:rPr>
          <w:lang w:val="en-GB"/>
        </w:rPr>
        <w:t xml:space="preserve"> the 0.975 </w:t>
      </w:r>
      <w:proofErr w:type="spellStart"/>
      <w:r w:rsidR="000A3A94" w:rsidRPr="000A3A94">
        <w:rPr>
          <w:lang w:val="en-GB"/>
        </w:rPr>
        <w:t>quantile</w:t>
      </w:r>
      <w:proofErr w:type="spellEnd"/>
      <w:r w:rsidR="000A3A94" w:rsidRPr="000A3A94">
        <w:rPr>
          <w:lang w:val="en-GB"/>
        </w:rPr>
        <w:t xml:space="preserve"> of a Student</w:t>
      </w:r>
      <w:r w:rsidR="000A3A94">
        <w:rPr>
          <w:lang w:val="en-GB"/>
        </w:rPr>
        <w:t xml:space="preserve"> distribution with </w:t>
      </w:r>
      <w:r w:rsidR="00181654" w:rsidRPr="00181654">
        <w:rPr>
          <w:i/>
          <w:lang w:val="en-GB"/>
        </w:rPr>
        <w:t>N</w:t>
      </w:r>
      <w:r w:rsidR="000A3A94" w:rsidRPr="00181654">
        <w:rPr>
          <w:i/>
          <w:lang w:val="en-GB"/>
        </w:rPr>
        <w:t>-1</w:t>
      </w:r>
      <w:r w:rsidR="000A3A94">
        <w:rPr>
          <w:lang w:val="en-GB"/>
        </w:rPr>
        <w:t xml:space="preserve"> degrees of freedom.</w:t>
      </w:r>
    </w:p>
    <w:p w:rsidR="000A3A94" w:rsidRPr="000A3A94" w:rsidRDefault="0031105B">
      <w:pPr>
        <w:rPr>
          <w:lang w:val="en-GB"/>
        </w:rPr>
      </w:pPr>
      <w:r>
        <w:rPr>
          <w:lang w:val="en-GB"/>
        </w:rPr>
        <w:t xml:space="preserve">The lower </w:t>
      </w:r>
      <w:r w:rsidR="00A85DC4">
        <w:rPr>
          <w:lang w:val="en-GB"/>
        </w:rPr>
        <w:t xml:space="preserve">(resp. upper) </w:t>
      </w:r>
      <w:r>
        <w:rPr>
          <w:lang w:val="en-GB"/>
        </w:rPr>
        <w:t xml:space="preserve">limit of the reference interval is given in </w:t>
      </w:r>
      <w:r w:rsidR="00A85DC4">
        <w:rPr>
          <w:lang w:val="en-GB"/>
        </w:rPr>
        <w:t xml:space="preserve">the row entitled </w:t>
      </w:r>
      <w:r w:rsidR="00A85DC4" w:rsidRPr="00DD74E8">
        <w:rPr>
          <w:rFonts w:ascii="Arial" w:hAnsi="Arial" w:cs="Arial"/>
          <w:sz w:val="18"/>
          <w:szCs w:val="18"/>
          <w:lang w:val="en-GB"/>
        </w:rPr>
        <w:t>Lower limit of reference interval</w:t>
      </w:r>
      <w:r w:rsidR="00A85DC4">
        <w:rPr>
          <w:rFonts w:ascii="Arial" w:hAnsi="Arial" w:cs="Arial"/>
          <w:sz w:val="18"/>
          <w:szCs w:val="18"/>
          <w:lang w:val="en-GB"/>
        </w:rPr>
        <w:t xml:space="preserve"> </w:t>
      </w:r>
      <w:r w:rsidR="00A85DC4">
        <w:rPr>
          <w:lang w:val="en-GB"/>
        </w:rPr>
        <w:t xml:space="preserve">(resp. </w:t>
      </w:r>
      <w:r w:rsidR="00A85DC4" w:rsidRPr="00DD74E8">
        <w:rPr>
          <w:rFonts w:ascii="Arial" w:hAnsi="Arial" w:cs="Arial"/>
          <w:sz w:val="18"/>
          <w:szCs w:val="18"/>
          <w:lang w:val="en-GB"/>
        </w:rPr>
        <w:t>Upper limit of reference interval</w:t>
      </w:r>
      <w:r w:rsidR="00A85DC4">
        <w:rPr>
          <w:lang w:val="en-GB"/>
        </w:rPr>
        <w:t>)</w:t>
      </w:r>
      <w:r w:rsidR="00912D18">
        <w:rPr>
          <w:lang w:val="en-GB"/>
        </w:rPr>
        <w:t xml:space="preserve"> for the columns named </w:t>
      </w:r>
      <w:proofErr w:type="gramStart"/>
      <w:r w:rsidR="00912D18" w:rsidRPr="00912D18">
        <w:rPr>
          <w:rFonts w:ascii="Constantia" w:hAnsi="Constantia" w:cs="Arial"/>
          <w:sz w:val="18"/>
          <w:szCs w:val="18"/>
          <w:lang w:val="en-GB"/>
        </w:rPr>
        <w:t>Untransformed</w:t>
      </w:r>
      <w:proofErr w:type="gramEnd"/>
      <w:r w:rsidR="00912D18" w:rsidRPr="00912D18">
        <w:rPr>
          <w:rFonts w:ascii="Constantia" w:hAnsi="Constantia" w:cs="Arial"/>
          <w:sz w:val="18"/>
          <w:szCs w:val="18"/>
          <w:lang w:val="en-GB"/>
        </w:rPr>
        <w:t xml:space="preserve"> data</w:t>
      </w:r>
      <w:r w:rsidR="00A85DC4">
        <w:rPr>
          <w:lang w:val="en-GB"/>
        </w:rPr>
        <w:t>.</w:t>
      </w:r>
    </w:p>
    <w:p w:rsidR="00DD74E8" w:rsidRDefault="00DD74E8" w:rsidP="000A3A94">
      <w:pPr>
        <w:rPr>
          <w:lang w:val="en-US"/>
        </w:rPr>
      </w:pPr>
    </w:p>
    <w:p w:rsidR="00291F98" w:rsidRPr="00291F98" w:rsidRDefault="00291F98" w:rsidP="00291F98">
      <w:pPr>
        <w:rPr>
          <w:b/>
          <w:lang w:val="en-US"/>
        </w:rPr>
      </w:pPr>
      <w:r w:rsidRPr="00291F98">
        <w:rPr>
          <w:b/>
          <w:lang w:val="en-US"/>
        </w:rPr>
        <w:t xml:space="preserve">The </w:t>
      </w:r>
      <w:r>
        <w:rPr>
          <w:b/>
          <w:lang w:val="en-US"/>
        </w:rPr>
        <w:t>robust</w:t>
      </w:r>
      <w:r w:rsidRPr="00291F98">
        <w:rPr>
          <w:b/>
          <w:lang w:val="en-US"/>
        </w:rPr>
        <w:t xml:space="preserve"> method</w:t>
      </w:r>
    </w:p>
    <w:p w:rsidR="002A7355" w:rsidRDefault="00291F98" w:rsidP="002A7355">
      <w:pPr>
        <w:rPr>
          <w:lang w:val="en-GB"/>
        </w:rPr>
      </w:pPr>
      <w:r w:rsidRPr="00934745">
        <w:rPr>
          <w:lang w:val="en-US"/>
        </w:rPr>
        <w:t xml:space="preserve">The </w:t>
      </w:r>
      <w:r w:rsidR="00370A0D">
        <w:rPr>
          <w:lang w:val="en-US"/>
        </w:rPr>
        <w:t>robust</w:t>
      </w:r>
      <w:r w:rsidRPr="00934745">
        <w:rPr>
          <w:lang w:val="en-US"/>
        </w:rPr>
        <w:t xml:space="preserve"> method </w:t>
      </w:r>
      <w:r w:rsidR="005E1184">
        <w:rPr>
          <w:lang w:val="en-US"/>
        </w:rPr>
        <w:t>assumes that the</w:t>
      </w:r>
      <w:r>
        <w:rPr>
          <w:lang w:val="en-US"/>
        </w:rPr>
        <w:t xml:space="preserve"> data distribution</w:t>
      </w:r>
      <w:r w:rsidR="005E1184">
        <w:rPr>
          <w:lang w:val="en-US"/>
        </w:rPr>
        <w:t xml:space="preserve"> is symmetric without being necessarily Gaussian. It is built using robust statistics (median and median absolute deviation) that are less sensitive to outliers.</w:t>
      </w:r>
      <w:r>
        <w:rPr>
          <w:lang w:val="en-US"/>
        </w:rPr>
        <w:t xml:space="preserve"> </w:t>
      </w:r>
      <w:r w:rsidR="002A7355">
        <w:rPr>
          <w:lang w:val="en-GB"/>
        </w:rPr>
        <w:t>This reference interval is obtained by a process that iteratively gives a smaller weight to data far from the central location. The method is fully explained in [2] and the tuning parameters that need to be used for this computation are given in [1].</w:t>
      </w:r>
    </w:p>
    <w:p w:rsidR="00291F98" w:rsidRDefault="005E1184" w:rsidP="00291F98">
      <w:pPr>
        <w:rPr>
          <w:lang w:val="en-US"/>
        </w:rPr>
      </w:pPr>
      <w:r>
        <w:rPr>
          <w:lang w:val="en-US"/>
        </w:rPr>
        <w:t>T</w:t>
      </w:r>
      <w:r w:rsidR="00291F98">
        <w:rPr>
          <w:lang w:val="en-US"/>
        </w:rPr>
        <w:t xml:space="preserve">he 95% reference interval is computed </w:t>
      </w:r>
      <w:r>
        <w:rPr>
          <w:lang w:val="en-US"/>
        </w:rPr>
        <w:t>with the robust method is given by</w:t>
      </w:r>
    </w:p>
    <w:p w:rsidR="00291F98" w:rsidRPr="00934745" w:rsidRDefault="00EF02DB" w:rsidP="00291F98">
      <w:pPr>
        <w:jc w:val="center"/>
        <w:rPr>
          <w:lang w:val="en-US"/>
        </w:rPr>
      </w:pPr>
      <w:r w:rsidRPr="005E1184">
        <w:rPr>
          <w:position w:val="-12"/>
          <w:lang w:val="en-US"/>
        </w:rPr>
        <w:object w:dxaOrig="2400" w:dyaOrig="380">
          <v:shape id="_x0000_i1029" type="#_x0000_t75" style="width:120.15pt;height:18.75pt" o:ole="">
            <v:imagedata r:id="rId19" o:title=""/>
          </v:shape>
          <o:OLEObject Type="Embed" ProgID="Equation.3" ShapeID="_x0000_i1029" DrawAspect="Content" ObjectID="_1384148036" r:id="rId20"/>
        </w:object>
      </w:r>
      <w:r w:rsidR="00291F98">
        <w:rPr>
          <w:lang w:val="en-US"/>
        </w:rPr>
        <w:tab/>
      </w:r>
      <w:r w:rsidR="00291F98">
        <w:rPr>
          <w:lang w:val="en-US"/>
        </w:rPr>
        <w:tab/>
        <w:t xml:space="preserve">(eq. </w:t>
      </w:r>
      <w:r w:rsidR="005E1184">
        <w:rPr>
          <w:lang w:val="en-US"/>
        </w:rPr>
        <w:t>2</w:t>
      </w:r>
      <w:r w:rsidR="00291F98">
        <w:rPr>
          <w:lang w:val="en-US"/>
        </w:rPr>
        <w:t>)</w:t>
      </w:r>
    </w:p>
    <w:p w:rsidR="00291F98" w:rsidRPr="00934745" w:rsidRDefault="00291F98" w:rsidP="00291F98">
      <w:pPr>
        <w:rPr>
          <w:lang w:val="en-US"/>
        </w:rPr>
      </w:pPr>
      <w:proofErr w:type="gramStart"/>
      <w:r>
        <w:rPr>
          <w:lang w:val="en-US"/>
        </w:rPr>
        <w:t>where</w:t>
      </w:r>
      <w:proofErr w:type="gramEnd"/>
      <w:r>
        <w:rPr>
          <w:lang w:val="en-US"/>
        </w:rPr>
        <w:t xml:space="preserve"> </w:t>
      </w:r>
    </w:p>
    <w:p w:rsidR="00291F98" w:rsidRPr="000A3A94" w:rsidRDefault="00291F98" w:rsidP="00291F98">
      <w:pPr>
        <w:rPr>
          <w:lang w:val="en-GB"/>
        </w:rPr>
      </w:pPr>
      <w:r w:rsidRPr="00BD546B">
        <w:rPr>
          <w:i/>
          <w:lang w:val="en-GB"/>
        </w:rPr>
        <w:t>N</w:t>
      </w:r>
      <w:r w:rsidRPr="000A3A94">
        <w:rPr>
          <w:i/>
          <w:lang w:val="en-GB"/>
        </w:rPr>
        <w:t xml:space="preserve"> </w:t>
      </w:r>
      <w:r w:rsidRPr="000A3A94">
        <w:rPr>
          <w:lang w:val="en-GB"/>
        </w:rPr>
        <w:t>is the sample size</w:t>
      </w:r>
      <w:r>
        <w:rPr>
          <w:lang w:val="en-GB"/>
        </w:rPr>
        <w:t xml:space="preserve"> named as N in the output table</w:t>
      </w:r>
      <w:r w:rsidRPr="000A3A94">
        <w:rPr>
          <w:lang w:val="en-GB"/>
        </w:rPr>
        <w:t>,</w:t>
      </w:r>
    </w:p>
    <w:p w:rsidR="00291F98" w:rsidRDefault="007A5074" w:rsidP="00291F98">
      <w:pPr>
        <w:rPr>
          <w:lang w:val="en-GB"/>
        </w:rPr>
      </w:pPr>
      <w:r w:rsidRPr="00EF02DB">
        <w:rPr>
          <w:position w:val="-4"/>
        </w:rPr>
        <w:object w:dxaOrig="220" w:dyaOrig="260">
          <v:shape id="_x0000_i1030" type="#_x0000_t75" style="width:11.15pt;height:13.2pt" o:ole="">
            <v:imagedata r:id="rId21" o:title=""/>
          </v:shape>
          <o:OLEObject Type="Embed" ProgID="Equation.3" ShapeID="_x0000_i1030" DrawAspect="Content" ObjectID="_1384148037" r:id="rId22"/>
        </w:object>
      </w:r>
      <w:r w:rsidR="00291F98" w:rsidRPr="000A3A94">
        <w:rPr>
          <w:lang w:val="en-GB"/>
        </w:rPr>
        <w:t xml:space="preserve"> </w:t>
      </w:r>
      <w:proofErr w:type="gramStart"/>
      <w:r w:rsidR="00291F98" w:rsidRPr="000A3A94">
        <w:rPr>
          <w:lang w:val="en-GB"/>
        </w:rPr>
        <w:t>is</w:t>
      </w:r>
      <w:proofErr w:type="gramEnd"/>
      <w:r w:rsidR="00291F98" w:rsidRPr="000A3A94">
        <w:rPr>
          <w:lang w:val="en-GB"/>
        </w:rPr>
        <w:t xml:space="preserve"> </w:t>
      </w:r>
      <w:r>
        <w:rPr>
          <w:lang w:val="en-GB"/>
        </w:rPr>
        <w:t>an estimate of the central location of the data distribution</w:t>
      </w:r>
      <w:r w:rsidR="00291F98">
        <w:rPr>
          <w:lang w:val="en-GB"/>
        </w:rPr>
        <w:t xml:space="preserve">. Its value is given in the </w:t>
      </w:r>
      <w:r w:rsidR="00291F98" w:rsidRPr="0031105B">
        <w:rPr>
          <w:rFonts w:ascii="Arial" w:hAnsi="Arial" w:cs="Arial"/>
          <w:sz w:val="18"/>
          <w:szCs w:val="18"/>
          <w:lang w:val="en-GB"/>
        </w:rPr>
        <w:t>Me</w:t>
      </w:r>
      <w:r>
        <w:rPr>
          <w:rFonts w:ascii="Arial" w:hAnsi="Arial" w:cs="Arial"/>
          <w:sz w:val="18"/>
          <w:szCs w:val="18"/>
          <w:lang w:val="en-GB"/>
        </w:rPr>
        <w:t>dian</w:t>
      </w:r>
      <w:r w:rsidR="00291F98">
        <w:rPr>
          <w:lang w:val="en-GB"/>
        </w:rPr>
        <w:t xml:space="preserve"> row, </w:t>
      </w:r>
    </w:p>
    <w:p w:rsidR="00291F98" w:rsidRPr="000A3A94" w:rsidRDefault="007A5074" w:rsidP="00291F98">
      <w:pPr>
        <w:rPr>
          <w:lang w:val="en-GB"/>
        </w:rPr>
      </w:pPr>
      <w:r w:rsidRPr="007A5074">
        <w:rPr>
          <w:i/>
          <w:lang w:val="en-GB"/>
        </w:rPr>
        <w:t>SD</w:t>
      </w:r>
      <w:r w:rsidR="00291F98" w:rsidRPr="000A3A94">
        <w:rPr>
          <w:lang w:val="en-GB"/>
        </w:rPr>
        <w:t xml:space="preserve"> is </w:t>
      </w:r>
      <w:r>
        <w:rPr>
          <w:lang w:val="en-GB"/>
        </w:rPr>
        <w:t xml:space="preserve">an estimate of the data dispersion </w:t>
      </w:r>
      <w:r w:rsidR="00291F98">
        <w:rPr>
          <w:lang w:val="en-GB"/>
        </w:rPr>
        <w:t xml:space="preserve">whose value is given in the </w:t>
      </w:r>
      <w:r w:rsidR="00291F98" w:rsidRPr="0031105B">
        <w:rPr>
          <w:rFonts w:ascii="Arial" w:hAnsi="Arial" w:cs="Arial"/>
          <w:sz w:val="18"/>
          <w:szCs w:val="18"/>
          <w:lang w:val="en-GB"/>
        </w:rPr>
        <w:t>SD</w:t>
      </w:r>
      <w:r w:rsidR="00291F98">
        <w:rPr>
          <w:lang w:val="en-GB"/>
        </w:rPr>
        <w:t xml:space="preserve"> row</w:t>
      </w:r>
    </w:p>
    <w:p w:rsidR="00291F98" w:rsidRDefault="00291F98" w:rsidP="00291F98">
      <w:pPr>
        <w:rPr>
          <w:lang w:val="en-GB"/>
        </w:rPr>
      </w:pPr>
      <w:r w:rsidRPr="00181654">
        <w:rPr>
          <w:position w:val="-12"/>
        </w:rPr>
        <w:object w:dxaOrig="480" w:dyaOrig="380">
          <v:shape id="_x0000_i1031" type="#_x0000_t75" style="width:23.85pt;height:18.75pt" o:ole="">
            <v:imagedata r:id="rId17" o:title=""/>
          </v:shape>
          <o:OLEObject Type="Embed" ProgID="Equation.3" ShapeID="_x0000_i1031" DrawAspect="Content" ObjectID="_1384148038" r:id="rId23"/>
        </w:object>
      </w:r>
      <w:r w:rsidRPr="000A3A94">
        <w:rPr>
          <w:lang w:val="en-GB"/>
        </w:rPr>
        <w:t xml:space="preserve"> </w:t>
      </w:r>
      <w:proofErr w:type="gramStart"/>
      <w:r w:rsidRPr="000A3A94">
        <w:rPr>
          <w:lang w:val="en-GB"/>
        </w:rPr>
        <w:t>is</w:t>
      </w:r>
      <w:proofErr w:type="gramEnd"/>
      <w:r w:rsidRPr="000A3A94">
        <w:rPr>
          <w:lang w:val="en-GB"/>
        </w:rPr>
        <w:t xml:space="preserve"> the 0.975 quantile of a Student</w:t>
      </w:r>
      <w:r>
        <w:rPr>
          <w:lang w:val="en-GB"/>
        </w:rPr>
        <w:t xml:space="preserve"> distribution with </w:t>
      </w:r>
      <w:r w:rsidRPr="00181654">
        <w:rPr>
          <w:i/>
          <w:lang w:val="en-GB"/>
        </w:rPr>
        <w:t>N-1</w:t>
      </w:r>
      <w:r>
        <w:rPr>
          <w:lang w:val="en-GB"/>
        </w:rPr>
        <w:t xml:space="preserve"> degrees of freedom.</w:t>
      </w:r>
    </w:p>
    <w:p w:rsidR="00291F98" w:rsidRPr="000A3A94" w:rsidRDefault="00291F98" w:rsidP="00291F98">
      <w:pPr>
        <w:rPr>
          <w:lang w:val="en-GB"/>
        </w:rPr>
      </w:pPr>
      <w:r>
        <w:rPr>
          <w:lang w:val="en-GB"/>
        </w:rPr>
        <w:t xml:space="preserve">The lower (resp. upper) limit of the reference interval is given in the row entitled </w:t>
      </w:r>
      <w:r w:rsidRPr="00DD74E8">
        <w:rPr>
          <w:rFonts w:ascii="Arial" w:hAnsi="Arial" w:cs="Arial"/>
          <w:sz w:val="18"/>
          <w:szCs w:val="18"/>
          <w:lang w:val="en-GB"/>
        </w:rPr>
        <w:t>Lower limit of reference interval</w:t>
      </w:r>
      <w:r>
        <w:rPr>
          <w:rFonts w:ascii="Arial" w:hAnsi="Arial" w:cs="Arial"/>
          <w:sz w:val="18"/>
          <w:szCs w:val="18"/>
          <w:lang w:val="en-GB"/>
        </w:rPr>
        <w:t xml:space="preserve"> </w:t>
      </w:r>
      <w:r>
        <w:rPr>
          <w:lang w:val="en-GB"/>
        </w:rPr>
        <w:t xml:space="preserve">(resp. </w:t>
      </w:r>
      <w:r w:rsidRPr="00DD74E8">
        <w:rPr>
          <w:rFonts w:ascii="Arial" w:hAnsi="Arial" w:cs="Arial"/>
          <w:sz w:val="18"/>
          <w:szCs w:val="18"/>
          <w:lang w:val="en-GB"/>
        </w:rPr>
        <w:t>Upper limit of reference interval</w:t>
      </w:r>
      <w:r>
        <w:rPr>
          <w:lang w:val="en-GB"/>
        </w:rPr>
        <w:t>).</w:t>
      </w:r>
    </w:p>
    <w:p w:rsidR="00B93519" w:rsidRPr="00291F98" w:rsidRDefault="00B93519" w:rsidP="000A3A94">
      <w:pPr>
        <w:rPr>
          <w:lang w:val="en-GB"/>
        </w:rPr>
      </w:pPr>
      <w:r>
        <w:rPr>
          <w:lang w:val="en-GB"/>
        </w:rPr>
        <w:t xml:space="preserve">The robust method is sensitive to asymmetry of the distribution. For this reason, the data distribution should be first carefully inspected. </w:t>
      </w:r>
    </w:p>
    <w:p w:rsidR="00291F98" w:rsidRPr="00625CE3" w:rsidRDefault="00625CE3" w:rsidP="000A3A94">
      <w:pPr>
        <w:rPr>
          <w:b/>
          <w:lang w:val="en-US"/>
        </w:rPr>
      </w:pPr>
      <w:r w:rsidRPr="00625CE3">
        <w:rPr>
          <w:b/>
          <w:lang w:val="en-US"/>
        </w:rPr>
        <w:t>Confidence intervals of the limits</w:t>
      </w:r>
    </w:p>
    <w:p w:rsidR="00625CE3" w:rsidRDefault="00625CE3" w:rsidP="00F717EC">
      <w:pPr>
        <w:jc w:val="both"/>
        <w:rPr>
          <w:lang w:val="en-US"/>
        </w:rPr>
      </w:pPr>
      <w:r>
        <w:rPr>
          <w:lang w:val="en-US"/>
        </w:rPr>
        <w:t>Confidence intervals (</w:t>
      </w:r>
      <w:r w:rsidR="00C004EC">
        <w:rPr>
          <w:lang w:val="en-US"/>
        </w:rPr>
        <w:t>CI</w:t>
      </w:r>
      <w:r>
        <w:rPr>
          <w:lang w:val="en-US"/>
        </w:rPr>
        <w:t>) of the reference limits are computed for all methods.</w:t>
      </w:r>
    </w:p>
    <w:p w:rsidR="00625CE3" w:rsidRDefault="00C004EC" w:rsidP="00F717EC">
      <w:pPr>
        <w:jc w:val="both"/>
        <w:rPr>
          <w:lang w:val="en-US"/>
        </w:rPr>
      </w:pPr>
      <w:r w:rsidRPr="00C004EC">
        <w:rPr>
          <w:lang w:val="en-US"/>
        </w:rPr>
        <w:t>For the standard method</w:t>
      </w:r>
      <w:r>
        <w:rPr>
          <w:lang w:val="en-US"/>
        </w:rPr>
        <w:t xml:space="preserve"> the 90% CI</w:t>
      </w:r>
      <w:r w:rsidR="00017BEA">
        <w:rPr>
          <w:lang w:val="en-US"/>
        </w:rPr>
        <w:t xml:space="preserve"> </w:t>
      </w:r>
      <w:r>
        <w:rPr>
          <w:lang w:val="en-US"/>
        </w:rPr>
        <w:t xml:space="preserve">is </w:t>
      </w:r>
      <w:r w:rsidR="00017BEA">
        <w:rPr>
          <w:lang w:val="en-US"/>
        </w:rPr>
        <w:t>obtained using parametric bootstrap when N</w:t>
      </w:r>
      <w:r w:rsidR="00017BEA">
        <w:rPr>
          <w:lang w:val="en-US"/>
        </w:rPr>
        <w:sym w:font="Symbol" w:char="F0A3"/>
      </w:r>
      <w:r w:rsidR="00017BEA">
        <w:rPr>
          <w:lang w:val="en-US"/>
        </w:rPr>
        <w:t>20</w:t>
      </w:r>
      <w:r>
        <w:rPr>
          <w:lang w:val="en-US"/>
        </w:rPr>
        <w:t>.</w:t>
      </w:r>
    </w:p>
    <w:p w:rsidR="00C004EC" w:rsidRDefault="00C004EC" w:rsidP="00F717EC">
      <w:pPr>
        <w:jc w:val="both"/>
        <w:rPr>
          <w:lang w:val="en-US"/>
        </w:rPr>
      </w:pPr>
      <w:r>
        <w:rPr>
          <w:lang w:val="en-US"/>
        </w:rPr>
        <w:lastRenderedPageBreak/>
        <w:t>In all other cases a non parametric bootstrap is used.</w:t>
      </w:r>
    </w:p>
    <w:p w:rsidR="00C004EC" w:rsidRDefault="00C004EC" w:rsidP="00F717EC">
      <w:pPr>
        <w:jc w:val="both"/>
        <w:rPr>
          <w:lang w:val="en-US"/>
        </w:rPr>
      </w:pPr>
      <w:r>
        <w:rPr>
          <w:lang w:val="en-US"/>
        </w:rPr>
        <w:t>Reference Interval Advisor spends most of the computation time to compute these confidence interval</w:t>
      </w:r>
      <w:r w:rsidR="00BC2096">
        <w:rPr>
          <w:lang w:val="en-US"/>
        </w:rPr>
        <w:t>s</w:t>
      </w:r>
      <w:r>
        <w:rPr>
          <w:lang w:val="en-US"/>
        </w:rPr>
        <w:t>.</w:t>
      </w:r>
    </w:p>
    <w:p w:rsidR="00BC2096" w:rsidRPr="00BC2096" w:rsidRDefault="00BC2096" w:rsidP="00D52EE9">
      <w:pPr>
        <w:rPr>
          <w:lang w:val="en-GB"/>
        </w:rPr>
      </w:pPr>
      <w:r>
        <w:rPr>
          <w:lang w:val="en-US"/>
        </w:rPr>
        <w:t xml:space="preserve">The 90% confidence interval of the lower (resp. upper) reference limit is given in the rows </w:t>
      </w:r>
      <w:r w:rsidRPr="00BC2096">
        <w:rPr>
          <w:rFonts w:ascii="Arial" w:hAnsi="Arial" w:cs="Arial"/>
          <w:sz w:val="18"/>
          <w:szCs w:val="18"/>
          <w:lang w:val="en-GB"/>
        </w:rPr>
        <w:t>90% CI for lower limit</w:t>
      </w:r>
      <w:r>
        <w:rPr>
          <w:rFonts w:ascii="Arial" w:hAnsi="Arial" w:cs="Arial"/>
          <w:sz w:val="18"/>
          <w:szCs w:val="18"/>
          <w:lang w:val="en-GB"/>
        </w:rPr>
        <w:t xml:space="preserve"> (</w:t>
      </w:r>
      <w:r w:rsidRPr="00BC2096">
        <w:rPr>
          <w:lang w:val="en-GB"/>
        </w:rPr>
        <w:t xml:space="preserve">resp. </w:t>
      </w:r>
      <w:r w:rsidRPr="00BC2096">
        <w:rPr>
          <w:rFonts w:ascii="Arial" w:hAnsi="Arial" w:cs="Arial"/>
          <w:sz w:val="18"/>
          <w:szCs w:val="18"/>
          <w:lang w:val="en-GB"/>
        </w:rPr>
        <w:t>90% CI for upper limit</w:t>
      </w:r>
      <w:r>
        <w:rPr>
          <w:rFonts w:ascii="Arial" w:hAnsi="Arial" w:cs="Arial"/>
          <w:sz w:val="18"/>
          <w:szCs w:val="18"/>
          <w:lang w:val="en-GB"/>
        </w:rPr>
        <w:t>).</w:t>
      </w:r>
    </w:p>
    <w:p w:rsidR="00BC2096" w:rsidRDefault="00C9174E" w:rsidP="00D9739B">
      <w:pPr>
        <w:jc w:val="both"/>
        <w:rPr>
          <w:lang w:val="en-US"/>
        </w:rPr>
      </w:pPr>
      <w:r w:rsidRPr="00C9174E">
        <w:rPr>
          <w:lang w:val="en-US"/>
        </w:rPr>
        <w:t xml:space="preserve">The width of the </w:t>
      </w:r>
      <w:r>
        <w:rPr>
          <w:lang w:val="en-US"/>
        </w:rPr>
        <w:t xml:space="preserve">confidence intervals depends on the sample size N and </w:t>
      </w:r>
      <w:r w:rsidR="005C4758">
        <w:rPr>
          <w:lang w:val="en-US"/>
        </w:rPr>
        <w:t xml:space="preserve">on the data dispersion. When N is low, the confidence intervals are wide while large N </w:t>
      </w:r>
      <w:proofErr w:type="gramStart"/>
      <w:r w:rsidR="005C4758">
        <w:rPr>
          <w:lang w:val="en-US"/>
        </w:rPr>
        <w:t>give</w:t>
      </w:r>
      <w:proofErr w:type="gramEnd"/>
      <w:r w:rsidR="005C4758">
        <w:rPr>
          <w:lang w:val="en-US"/>
        </w:rPr>
        <w:t xml:space="preserve"> narrow confidence intervals. The confidence interval of the reference limits should be given whatever the sample size used for the computation. They give useful information on the precision of the computed reference interval.</w:t>
      </w:r>
    </w:p>
    <w:p w:rsidR="00D9739B" w:rsidRDefault="00D9739B" w:rsidP="00D9739B">
      <w:pPr>
        <w:jc w:val="both"/>
        <w:rPr>
          <w:lang w:val="en-US"/>
        </w:rPr>
      </w:pPr>
    </w:p>
    <w:p w:rsidR="00D9739B" w:rsidRPr="00C9174E" w:rsidRDefault="00D9739B" w:rsidP="00D9739B">
      <w:pPr>
        <w:jc w:val="both"/>
        <w:rPr>
          <w:lang w:val="en-US"/>
        </w:rPr>
      </w:pPr>
    </w:p>
    <w:p w:rsidR="00D52EE9" w:rsidRPr="00291F98" w:rsidRDefault="00D52EE9" w:rsidP="00D52EE9">
      <w:pPr>
        <w:rPr>
          <w:b/>
          <w:lang w:val="en-US"/>
        </w:rPr>
      </w:pPr>
      <w:r w:rsidRPr="00291F98">
        <w:rPr>
          <w:b/>
          <w:lang w:val="en-US"/>
        </w:rPr>
        <w:t xml:space="preserve">The </w:t>
      </w:r>
      <w:r w:rsidR="0046565B">
        <w:rPr>
          <w:b/>
          <w:lang w:val="en-US"/>
        </w:rPr>
        <w:t xml:space="preserve">generalized </w:t>
      </w:r>
      <w:r>
        <w:rPr>
          <w:b/>
          <w:lang w:val="en-US"/>
        </w:rPr>
        <w:t>Box-Cox</w:t>
      </w:r>
      <w:r w:rsidRPr="00291F98">
        <w:rPr>
          <w:b/>
          <w:lang w:val="en-US"/>
        </w:rPr>
        <w:t xml:space="preserve"> </w:t>
      </w:r>
      <w:r>
        <w:rPr>
          <w:b/>
          <w:lang w:val="en-US"/>
        </w:rPr>
        <w:t>transformation</w:t>
      </w:r>
    </w:p>
    <w:p w:rsidR="00DD74E8" w:rsidRPr="00934745" w:rsidRDefault="000A3A94" w:rsidP="00FA59B7">
      <w:pPr>
        <w:jc w:val="both"/>
        <w:rPr>
          <w:lang w:val="en-US"/>
        </w:rPr>
      </w:pPr>
      <w:r w:rsidRPr="000A3A94">
        <w:rPr>
          <w:lang w:val="en-GB"/>
        </w:rPr>
        <w:t xml:space="preserve">The </w:t>
      </w:r>
      <w:r w:rsidR="0046565B">
        <w:rPr>
          <w:lang w:val="en-GB"/>
        </w:rPr>
        <w:t xml:space="preserve">generalized </w:t>
      </w:r>
      <w:r w:rsidRPr="000A3A94">
        <w:rPr>
          <w:lang w:val="en-GB"/>
        </w:rPr>
        <w:t xml:space="preserve">Box-Cox transformation columns </w:t>
      </w:r>
      <w:r>
        <w:rPr>
          <w:lang w:val="en-GB"/>
        </w:rPr>
        <w:t xml:space="preserve">contains information about the data after the following </w:t>
      </w:r>
      <w:r w:rsidRPr="000A3A94">
        <w:rPr>
          <w:lang w:val="en-GB"/>
        </w:rPr>
        <w:t xml:space="preserve">Box-Cox </w:t>
      </w:r>
      <w:r>
        <w:rPr>
          <w:lang w:val="en-GB"/>
        </w:rPr>
        <w:t xml:space="preserve">transformation </w:t>
      </w:r>
    </w:p>
    <w:p w:rsidR="00DD74E8" w:rsidRPr="00934745" w:rsidRDefault="007648BF" w:rsidP="00FA59B7">
      <w:pPr>
        <w:jc w:val="center"/>
        <w:rPr>
          <w:lang w:val="en-US"/>
        </w:rPr>
      </w:pPr>
      <w:r w:rsidRPr="0053608F">
        <w:rPr>
          <w:position w:val="-46"/>
          <w:lang w:val="en-US"/>
        </w:rPr>
        <w:object w:dxaOrig="2940" w:dyaOrig="1040">
          <v:shape id="_x0000_i1032" type="#_x0000_t75" style="width:147.05pt;height:52.25pt" o:ole="">
            <v:imagedata r:id="rId24" o:title=""/>
          </v:shape>
          <o:OLEObject Type="Embed" ProgID="Equation.3" ShapeID="_x0000_i1032" DrawAspect="Content" ObjectID="_1384148039" r:id="rId25"/>
        </w:object>
      </w:r>
    </w:p>
    <w:p w:rsidR="00DD74E8" w:rsidRPr="00934745" w:rsidRDefault="00BD546B" w:rsidP="00FA59B7">
      <w:pPr>
        <w:jc w:val="both"/>
        <w:rPr>
          <w:lang w:val="en-US"/>
        </w:rPr>
      </w:pPr>
      <w:r>
        <w:rPr>
          <w:lang w:val="en-US"/>
        </w:rPr>
        <w:t>The parameter</w:t>
      </w:r>
      <w:r w:rsidR="00E67815">
        <w:rPr>
          <w:lang w:val="en-US"/>
        </w:rPr>
        <w:t>s</w:t>
      </w:r>
      <w:r>
        <w:rPr>
          <w:lang w:val="en-US"/>
        </w:rPr>
        <w:t xml:space="preserve"> </w:t>
      </w:r>
      <w:r w:rsidRPr="00BD546B">
        <w:rPr>
          <w:rFonts w:ascii="Symbol" w:hAnsi="Symbol"/>
          <w:i/>
          <w:lang w:val="en-US"/>
        </w:rPr>
        <w:t></w:t>
      </w:r>
      <w:r w:rsidR="00E67815" w:rsidRPr="00E67815">
        <w:rPr>
          <w:rFonts w:ascii="Symbol" w:hAnsi="Symbol"/>
          <w:i/>
          <w:vertAlign w:val="subscript"/>
          <w:lang w:val="en-US"/>
        </w:rPr>
        <w:t></w:t>
      </w:r>
      <w:r w:rsidR="00E67815" w:rsidRPr="00E67815">
        <w:rPr>
          <w:i/>
          <w:lang w:val="en-US"/>
        </w:rPr>
        <w:t xml:space="preserve"> </w:t>
      </w:r>
      <w:r w:rsidR="00E67815" w:rsidRPr="00E67815">
        <w:rPr>
          <w:lang w:val="en-US"/>
        </w:rPr>
        <w:t>and</w:t>
      </w:r>
      <w:r w:rsidR="00E67815" w:rsidRPr="00E67815">
        <w:rPr>
          <w:i/>
          <w:lang w:val="en-US"/>
        </w:rPr>
        <w:t xml:space="preserve"> </w:t>
      </w:r>
      <w:r w:rsidR="00E67815" w:rsidRPr="00BD546B">
        <w:rPr>
          <w:rFonts w:ascii="Symbol" w:hAnsi="Symbol"/>
          <w:i/>
          <w:lang w:val="en-US"/>
        </w:rPr>
        <w:t></w:t>
      </w:r>
      <w:r w:rsidR="00E67815" w:rsidRPr="00E67815">
        <w:rPr>
          <w:rFonts w:ascii="Symbol" w:hAnsi="Symbol"/>
          <w:i/>
          <w:vertAlign w:val="subscript"/>
          <w:lang w:val="en-US"/>
        </w:rPr>
        <w:t></w:t>
      </w:r>
      <w:r w:rsidR="00E67815">
        <w:rPr>
          <w:rFonts w:ascii="Symbol" w:hAnsi="Symbol"/>
          <w:i/>
          <w:lang w:val="en-US"/>
        </w:rPr>
        <w:t></w:t>
      </w:r>
      <w:r w:rsidR="00E67815">
        <w:rPr>
          <w:rFonts w:ascii="Symbol" w:hAnsi="Symbol"/>
          <w:i/>
          <w:lang w:val="en-US"/>
        </w:rPr>
        <w:t></w:t>
      </w:r>
      <w:r>
        <w:rPr>
          <w:lang w:val="en-US"/>
        </w:rPr>
        <w:t xml:space="preserve">that enter in the Box-Cox transformation </w:t>
      </w:r>
      <w:r w:rsidR="007648BF">
        <w:rPr>
          <w:lang w:val="en-US"/>
        </w:rPr>
        <w:t>are</w:t>
      </w:r>
      <w:r>
        <w:rPr>
          <w:lang w:val="en-US"/>
        </w:rPr>
        <w:t xml:space="preserve"> chosen so that the transformed data </w:t>
      </w:r>
      <w:r w:rsidR="00976E64">
        <w:rPr>
          <w:lang w:val="en-US"/>
        </w:rPr>
        <w:t>distribution is</w:t>
      </w:r>
      <w:r>
        <w:rPr>
          <w:lang w:val="en-US"/>
        </w:rPr>
        <w:t xml:space="preserve"> as Gaussian as possible. The </w:t>
      </w:r>
      <w:r w:rsidRPr="00BD546B">
        <w:rPr>
          <w:rFonts w:ascii="Symbol" w:hAnsi="Symbol"/>
          <w:i/>
          <w:lang w:val="en-US"/>
        </w:rPr>
        <w:t></w:t>
      </w:r>
      <w:r>
        <w:rPr>
          <w:lang w:val="en-US"/>
        </w:rPr>
        <w:t xml:space="preserve"> value</w:t>
      </w:r>
      <w:r w:rsidR="00E67815">
        <w:rPr>
          <w:lang w:val="en-US"/>
        </w:rPr>
        <w:t>s</w:t>
      </w:r>
      <w:r>
        <w:rPr>
          <w:lang w:val="en-US"/>
        </w:rPr>
        <w:t xml:space="preserve"> given in the </w:t>
      </w:r>
      <w:r>
        <w:rPr>
          <w:rFonts w:ascii="Arial" w:hAnsi="Arial" w:cs="Arial"/>
          <w:i/>
          <w:iCs/>
          <w:sz w:val="22"/>
          <w:szCs w:val="22"/>
        </w:rPr>
        <w:t>λ</w:t>
      </w:r>
      <w:r w:rsidRPr="00BD546B">
        <w:rPr>
          <w:rFonts w:ascii="Arial" w:hAnsi="Arial" w:cs="Arial"/>
          <w:sz w:val="22"/>
          <w:szCs w:val="22"/>
          <w:lang w:val="en-GB"/>
        </w:rPr>
        <w:t xml:space="preserve"> </w:t>
      </w:r>
      <w:r w:rsidRPr="00BD546B">
        <w:rPr>
          <w:rFonts w:ascii="Arial" w:hAnsi="Arial" w:cs="Arial"/>
          <w:sz w:val="18"/>
          <w:szCs w:val="18"/>
          <w:lang w:val="en-GB"/>
        </w:rPr>
        <w:t xml:space="preserve">coefficient </w:t>
      </w:r>
      <w:r w:rsidRPr="00BD546B">
        <w:rPr>
          <w:rFonts w:ascii="Constantia" w:hAnsi="Constantia" w:cs="Arial"/>
          <w:b/>
          <w:bCs/>
          <w:sz w:val="18"/>
          <w:szCs w:val="18"/>
          <w:lang w:val="en-GB"/>
        </w:rPr>
        <w:t>Box-Cox</w:t>
      </w:r>
      <w:r>
        <w:rPr>
          <w:rFonts w:ascii="Constantia" w:hAnsi="Constantia" w:cs="Arial"/>
          <w:b/>
          <w:bCs/>
          <w:sz w:val="18"/>
          <w:szCs w:val="18"/>
          <w:lang w:val="en-GB"/>
        </w:rPr>
        <w:t xml:space="preserve"> </w:t>
      </w:r>
      <w:r>
        <w:rPr>
          <w:lang w:val="en-US"/>
        </w:rPr>
        <w:t>row</w:t>
      </w:r>
      <w:r w:rsidR="00E67815">
        <w:rPr>
          <w:lang w:val="en-US"/>
        </w:rPr>
        <w:t>s</w:t>
      </w:r>
      <w:r>
        <w:rPr>
          <w:lang w:val="en-US"/>
        </w:rPr>
        <w:t xml:space="preserve"> optimize the likelihood.</w:t>
      </w:r>
      <w:r w:rsidR="0031105B">
        <w:rPr>
          <w:lang w:val="en-US"/>
        </w:rPr>
        <w:t xml:space="preserve"> </w:t>
      </w:r>
      <w:r w:rsidR="00A85DC4">
        <w:rPr>
          <w:lang w:val="en-US"/>
        </w:rPr>
        <w:t>An</w:t>
      </w:r>
      <w:r>
        <w:rPr>
          <w:lang w:val="en-US"/>
        </w:rPr>
        <w:t xml:space="preserve"> interval </w:t>
      </w:r>
      <w:r w:rsidR="0031105B">
        <w:rPr>
          <w:lang w:val="en-US"/>
        </w:rPr>
        <w:t xml:space="preserve">is first build using equation (eq. 1) on the Box-Cox transformed data. </w:t>
      </w:r>
      <w:r w:rsidR="00A85DC4">
        <w:rPr>
          <w:lang w:val="en-US"/>
        </w:rPr>
        <w:t>Th</w:t>
      </w:r>
      <w:r w:rsidR="000878DF">
        <w:rPr>
          <w:lang w:val="en-US"/>
        </w:rPr>
        <w:t xml:space="preserve">is interval is then back-transformed using </w:t>
      </w:r>
      <w:r w:rsidR="000878DF" w:rsidRPr="000878DF">
        <w:rPr>
          <w:position w:val="-12"/>
        </w:rPr>
        <w:object w:dxaOrig="560" w:dyaOrig="380">
          <v:shape id="_x0000_i1033" type="#_x0000_t75" style="width:27.9pt;height:18.75pt" o:ole="">
            <v:imagedata r:id="rId26" o:title=""/>
          </v:shape>
          <o:OLEObject Type="Embed" ProgID="Equation.3" ShapeID="_x0000_i1033" DrawAspect="Content" ObjectID="_1384148040" r:id="rId27"/>
        </w:object>
      </w:r>
      <w:r w:rsidR="000878DF">
        <w:rPr>
          <w:lang w:val="en-US"/>
        </w:rPr>
        <w:t xml:space="preserve"> to give the reference interval</w:t>
      </w:r>
      <w:r w:rsidR="008B3322">
        <w:rPr>
          <w:lang w:val="en-US"/>
        </w:rPr>
        <w:t xml:space="preserve"> given in the rows </w:t>
      </w:r>
      <w:r w:rsidR="008B3322" w:rsidRPr="00DD74E8">
        <w:rPr>
          <w:rFonts w:ascii="Arial" w:hAnsi="Arial" w:cs="Arial"/>
          <w:sz w:val="18"/>
          <w:szCs w:val="18"/>
          <w:lang w:val="en-GB"/>
        </w:rPr>
        <w:t>Lower</w:t>
      </w:r>
      <w:r w:rsidR="008B3322">
        <w:rPr>
          <w:rFonts w:ascii="Arial" w:hAnsi="Arial" w:cs="Arial"/>
          <w:sz w:val="18"/>
          <w:szCs w:val="18"/>
          <w:lang w:val="en-GB"/>
        </w:rPr>
        <w:t>/Upper</w:t>
      </w:r>
      <w:r w:rsidR="008B3322" w:rsidRPr="00DD74E8">
        <w:rPr>
          <w:rFonts w:ascii="Arial" w:hAnsi="Arial" w:cs="Arial"/>
          <w:sz w:val="18"/>
          <w:szCs w:val="18"/>
          <w:lang w:val="en-GB"/>
        </w:rPr>
        <w:t xml:space="preserve"> limit of reference interval</w:t>
      </w:r>
      <w:r w:rsidR="008B3322">
        <w:rPr>
          <w:lang w:val="en-US"/>
        </w:rPr>
        <w:t xml:space="preserve"> for the columns </w:t>
      </w:r>
      <w:r w:rsidR="008B3322" w:rsidRPr="008B3322">
        <w:rPr>
          <w:rFonts w:ascii="Constantia" w:hAnsi="Constantia" w:cs="Arial"/>
          <w:sz w:val="18"/>
          <w:szCs w:val="18"/>
          <w:lang w:val="en-GB"/>
        </w:rPr>
        <w:t>Box-Cox transformed data.</w:t>
      </w:r>
      <w:r w:rsidR="000878DF">
        <w:rPr>
          <w:lang w:val="en-US"/>
        </w:rPr>
        <w:t xml:space="preserve"> The function </w:t>
      </w:r>
      <w:r w:rsidR="000878DF" w:rsidRPr="000878DF">
        <w:rPr>
          <w:position w:val="-12"/>
        </w:rPr>
        <w:object w:dxaOrig="560" w:dyaOrig="380">
          <v:shape id="_x0000_i1034" type="#_x0000_t75" style="width:27.9pt;height:18.75pt" o:ole="">
            <v:imagedata r:id="rId26" o:title=""/>
          </v:shape>
          <o:OLEObject Type="Embed" ProgID="Equation.3" ShapeID="_x0000_i1034" DrawAspect="Content" ObjectID="_1384148041" r:id="rId28"/>
        </w:object>
      </w:r>
      <w:r w:rsidR="000878DF" w:rsidRPr="008B3322">
        <w:rPr>
          <w:lang w:val="en-GB"/>
        </w:rPr>
        <w:t xml:space="preserve"> is given by</w:t>
      </w:r>
    </w:p>
    <w:p w:rsidR="00DD74E8" w:rsidRPr="00934745" w:rsidRDefault="00DD74E8" w:rsidP="000A3A94">
      <w:pPr>
        <w:rPr>
          <w:lang w:val="en-US"/>
        </w:rPr>
      </w:pPr>
    </w:p>
    <w:p w:rsidR="00DD74E8" w:rsidRPr="00934745" w:rsidRDefault="0012415D" w:rsidP="000878DF">
      <w:pPr>
        <w:jc w:val="center"/>
        <w:rPr>
          <w:lang w:val="en-US"/>
        </w:rPr>
      </w:pPr>
      <w:r w:rsidRPr="000878DF">
        <w:rPr>
          <w:position w:val="-34"/>
          <w:lang w:val="en-US"/>
        </w:rPr>
        <w:object w:dxaOrig="3300" w:dyaOrig="800">
          <v:shape id="_x0000_i1035" type="#_x0000_t75" style="width:164.8pt;height:40.05pt" o:ole="">
            <v:imagedata r:id="rId29" o:title=""/>
          </v:shape>
          <o:OLEObject Type="Embed" ProgID="Equation.3" ShapeID="_x0000_i1035" DrawAspect="Content" ObjectID="_1384148042" r:id="rId30"/>
        </w:object>
      </w:r>
      <w:r w:rsidR="000878DF">
        <w:rPr>
          <w:lang w:val="en-US"/>
        </w:rPr>
        <w:t>.</w:t>
      </w:r>
    </w:p>
    <w:p w:rsidR="00DD74E8" w:rsidRPr="00934745" w:rsidRDefault="00DD74E8" w:rsidP="000A3A94">
      <w:pPr>
        <w:rPr>
          <w:lang w:val="en-US"/>
        </w:rPr>
      </w:pPr>
    </w:p>
    <w:p w:rsidR="00D52EE9" w:rsidRPr="00291F98" w:rsidRDefault="00D52EE9" w:rsidP="00D52EE9">
      <w:pPr>
        <w:rPr>
          <w:b/>
          <w:lang w:val="en-US"/>
        </w:rPr>
      </w:pPr>
      <w:r>
        <w:rPr>
          <w:b/>
          <w:lang w:val="en-US"/>
        </w:rPr>
        <w:t xml:space="preserve">Normality </w:t>
      </w:r>
      <w:r w:rsidR="000B1F48">
        <w:rPr>
          <w:b/>
          <w:lang w:val="en-US"/>
        </w:rPr>
        <w:t xml:space="preserve">and symmetry </w:t>
      </w:r>
      <w:r>
        <w:rPr>
          <w:b/>
          <w:lang w:val="en-US"/>
        </w:rPr>
        <w:t>test</w:t>
      </w:r>
      <w:r w:rsidR="000B1F48">
        <w:rPr>
          <w:b/>
          <w:lang w:val="en-US"/>
        </w:rPr>
        <w:t>s</w:t>
      </w:r>
    </w:p>
    <w:p w:rsidR="00DD74E8" w:rsidRPr="008C0CD8" w:rsidRDefault="000B1F48" w:rsidP="000B1F48">
      <w:pPr>
        <w:jc w:val="both"/>
        <w:rPr>
          <w:lang w:val="en-GB"/>
        </w:rPr>
      </w:pPr>
      <w:r>
        <w:rPr>
          <w:lang w:val="en-US"/>
        </w:rPr>
        <w:t xml:space="preserve">Normality is required by the standard method for an accurate computation of the reference interval. </w:t>
      </w:r>
      <w:r w:rsidR="008C0CD8">
        <w:rPr>
          <w:lang w:val="en-US"/>
        </w:rPr>
        <w:t xml:space="preserve">The row </w:t>
      </w:r>
      <w:r w:rsidR="008C0CD8" w:rsidRPr="008C0CD8">
        <w:rPr>
          <w:rFonts w:ascii="Arial" w:hAnsi="Arial" w:cs="Arial"/>
          <w:sz w:val="18"/>
          <w:szCs w:val="18"/>
          <w:lang w:val="en-GB"/>
        </w:rPr>
        <w:t xml:space="preserve">p-value </w:t>
      </w:r>
      <w:r w:rsidR="008C0CD8" w:rsidRPr="008C0CD8">
        <w:rPr>
          <w:rFonts w:ascii="Constantia" w:hAnsi="Constantia" w:cs="Arial"/>
          <w:b/>
          <w:bCs/>
          <w:sz w:val="18"/>
          <w:szCs w:val="18"/>
          <w:lang w:val="en-GB"/>
        </w:rPr>
        <w:t>Anderson-Darling</w:t>
      </w:r>
      <w:r w:rsidRPr="000B1F48">
        <w:rPr>
          <w:lang w:val="en-GB"/>
        </w:rPr>
        <w:t>/</w:t>
      </w:r>
      <w:r w:rsidRPr="000B1F48">
        <w:rPr>
          <w:rFonts w:ascii="Constantia" w:hAnsi="Constantia"/>
          <w:b/>
          <w:sz w:val="18"/>
          <w:szCs w:val="18"/>
          <w:lang w:val="en-GB"/>
        </w:rPr>
        <w:t>symmetry test for Robust</w:t>
      </w:r>
      <w:r>
        <w:rPr>
          <w:lang w:val="en-GB"/>
        </w:rPr>
        <w:t xml:space="preserve"> </w:t>
      </w:r>
      <w:r w:rsidR="008C0CD8" w:rsidRPr="008C0CD8">
        <w:rPr>
          <w:lang w:val="en-GB"/>
        </w:rPr>
        <w:t xml:space="preserve">gives the result </w:t>
      </w:r>
      <w:r w:rsidR="008C0CD8">
        <w:rPr>
          <w:lang w:val="en-GB"/>
        </w:rPr>
        <w:t xml:space="preserve">of the normality test for both the untransformed and the Box-Cox transformed data. When it is little than 0.05, normality should be questioned. Non normality can be due to a non normal distribution or presence of outliers. There exist other tests for normality such as Kolmogorov-Smirnov test, Chi-square test… We deliberately chose to retain only the Anderson-Darling test as it mainly </w:t>
      </w:r>
      <w:r w:rsidR="00266E51">
        <w:rPr>
          <w:lang w:val="en-GB"/>
        </w:rPr>
        <w:t>looks for deviation from normality in the tails of the distribution</w:t>
      </w:r>
      <w:r w:rsidR="0021108E">
        <w:rPr>
          <w:lang w:val="en-GB"/>
        </w:rPr>
        <w:t xml:space="preserve"> which are of primary importance for the reference interval determination</w:t>
      </w:r>
      <w:r w:rsidR="00266E51">
        <w:rPr>
          <w:lang w:val="en-GB"/>
        </w:rPr>
        <w:t>.</w:t>
      </w:r>
    </w:p>
    <w:p w:rsidR="00DD74E8" w:rsidRDefault="00DD74E8" w:rsidP="00FA59B7">
      <w:pPr>
        <w:jc w:val="both"/>
        <w:rPr>
          <w:lang w:val="en-GB"/>
        </w:rPr>
      </w:pPr>
    </w:p>
    <w:p w:rsidR="000B1F48" w:rsidRDefault="000B1F48" w:rsidP="00FA59B7">
      <w:pPr>
        <w:jc w:val="both"/>
        <w:rPr>
          <w:lang w:val="en-GB"/>
        </w:rPr>
      </w:pPr>
      <w:r>
        <w:rPr>
          <w:lang w:val="en-GB"/>
        </w:rPr>
        <w:t xml:space="preserve">The robust method required the data distribution to be symmetrical about its median. For the robust method, the result of the symmetry test is contained in the row </w:t>
      </w:r>
      <w:r w:rsidRPr="008C0CD8">
        <w:rPr>
          <w:rFonts w:ascii="Arial" w:hAnsi="Arial" w:cs="Arial"/>
          <w:sz w:val="18"/>
          <w:szCs w:val="18"/>
          <w:lang w:val="en-GB"/>
        </w:rPr>
        <w:t xml:space="preserve">p-value </w:t>
      </w:r>
      <w:r w:rsidRPr="008C0CD8">
        <w:rPr>
          <w:rFonts w:ascii="Constantia" w:hAnsi="Constantia" w:cs="Arial"/>
          <w:b/>
          <w:bCs/>
          <w:sz w:val="18"/>
          <w:szCs w:val="18"/>
          <w:lang w:val="en-GB"/>
        </w:rPr>
        <w:t>Anderson-Darling</w:t>
      </w:r>
      <w:r w:rsidRPr="000B1F48">
        <w:rPr>
          <w:lang w:val="en-GB"/>
        </w:rPr>
        <w:t>/</w:t>
      </w:r>
      <w:r w:rsidRPr="000B1F48">
        <w:rPr>
          <w:rFonts w:ascii="Constantia" w:hAnsi="Constantia"/>
          <w:b/>
          <w:sz w:val="18"/>
          <w:szCs w:val="18"/>
          <w:lang w:val="en-GB"/>
        </w:rPr>
        <w:t>symmetry test for Robust</w:t>
      </w:r>
      <w:r>
        <w:rPr>
          <w:lang w:val="en-GB"/>
        </w:rPr>
        <w:t>. When this P-value is less than 0.05, symmetry should be questioned and the robust method should not be used. This test is completely described in [4].</w:t>
      </w:r>
    </w:p>
    <w:p w:rsidR="000B1F48" w:rsidRDefault="000B1F48" w:rsidP="00FA59B7">
      <w:pPr>
        <w:jc w:val="both"/>
        <w:rPr>
          <w:lang w:val="en-GB"/>
        </w:rPr>
      </w:pPr>
    </w:p>
    <w:p w:rsidR="00D52EE9" w:rsidRPr="00291F98" w:rsidRDefault="00D52EE9" w:rsidP="00D52EE9">
      <w:pPr>
        <w:rPr>
          <w:b/>
          <w:lang w:val="en-US"/>
        </w:rPr>
      </w:pPr>
      <w:r>
        <w:rPr>
          <w:b/>
          <w:lang w:val="en-US"/>
        </w:rPr>
        <w:t>Outliers</w:t>
      </w:r>
    </w:p>
    <w:p w:rsidR="00683B3E" w:rsidRDefault="00683B3E" w:rsidP="00FA59B7">
      <w:pPr>
        <w:jc w:val="both"/>
        <w:rPr>
          <w:lang w:val="en-US"/>
        </w:rPr>
      </w:pPr>
      <w:r>
        <w:rPr>
          <w:lang w:val="en-US"/>
        </w:rPr>
        <w:t xml:space="preserve">An outlier is a value that has a small probability to have been observed in the reference population. </w:t>
      </w:r>
      <w:r w:rsidR="00B11478">
        <w:rPr>
          <w:lang w:val="en-US"/>
        </w:rPr>
        <w:t xml:space="preserve">Outliers can distort a reference interval determination. </w:t>
      </w:r>
      <w:r>
        <w:rPr>
          <w:lang w:val="en-US"/>
        </w:rPr>
        <w:t>There exist three kinds of outliers:</w:t>
      </w:r>
    </w:p>
    <w:p w:rsidR="00C74D97" w:rsidRDefault="00683B3E" w:rsidP="00FA59B7">
      <w:pPr>
        <w:numPr>
          <w:ilvl w:val="0"/>
          <w:numId w:val="5"/>
        </w:numPr>
        <w:jc w:val="both"/>
        <w:rPr>
          <w:lang w:val="en-US"/>
        </w:rPr>
      </w:pPr>
      <w:proofErr w:type="gramStart"/>
      <w:r>
        <w:rPr>
          <w:lang w:val="en-US"/>
        </w:rPr>
        <w:t>data</w:t>
      </w:r>
      <w:proofErr w:type="gramEnd"/>
      <w:r>
        <w:rPr>
          <w:lang w:val="en-US"/>
        </w:rPr>
        <w:t xml:space="preserve"> that are the results of a mistake</w:t>
      </w:r>
      <w:r w:rsidR="00C74D97">
        <w:rPr>
          <w:lang w:val="en-US"/>
        </w:rPr>
        <w:t xml:space="preserve">. </w:t>
      </w:r>
      <w:r>
        <w:rPr>
          <w:lang w:val="en-US"/>
        </w:rPr>
        <w:t>These data should be removed from the analysis.</w:t>
      </w:r>
    </w:p>
    <w:p w:rsidR="00C74D97" w:rsidRDefault="00683B3E" w:rsidP="00FA59B7">
      <w:pPr>
        <w:numPr>
          <w:ilvl w:val="0"/>
          <w:numId w:val="5"/>
        </w:numPr>
        <w:jc w:val="both"/>
        <w:rPr>
          <w:lang w:val="en-US"/>
        </w:rPr>
      </w:pPr>
      <w:proofErr w:type="gramStart"/>
      <w:r>
        <w:rPr>
          <w:lang w:val="en-US"/>
        </w:rPr>
        <w:lastRenderedPageBreak/>
        <w:t>data</w:t>
      </w:r>
      <w:proofErr w:type="gramEnd"/>
      <w:r>
        <w:rPr>
          <w:lang w:val="en-US"/>
        </w:rPr>
        <w:t xml:space="preserve"> that </w:t>
      </w:r>
      <w:r w:rsidR="008322C4">
        <w:rPr>
          <w:lang w:val="en-US"/>
        </w:rPr>
        <w:t>have been collected on a patient that does not belong to the reference population. If the reference population contains values for healthy patients, other results such as analytes concentrations/ clinical examination can help to detect these patients. When detected, t</w:t>
      </w:r>
      <w:r>
        <w:rPr>
          <w:lang w:val="en-US"/>
        </w:rPr>
        <w:t>hese data should be removed from the analysis.</w:t>
      </w:r>
    </w:p>
    <w:p w:rsidR="005F2E59" w:rsidRDefault="008322C4" w:rsidP="00FA59B7">
      <w:pPr>
        <w:numPr>
          <w:ilvl w:val="0"/>
          <w:numId w:val="5"/>
        </w:numPr>
        <w:jc w:val="both"/>
        <w:rPr>
          <w:lang w:val="en-US"/>
        </w:rPr>
      </w:pPr>
      <w:proofErr w:type="gramStart"/>
      <w:r>
        <w:rPr>
          <w:lang w:val="en-US"/>
        </w:rPr>
        <w:t>data</w:t>
      </w:r>
      <w:proofErr w:type="gramEnd"/>
      <w:r>
        <w:rPr>
          <w:lang w:val="en-US"/>
        </w:rPr>
        <w:t xml:space="preserve"> that are far from the other. This situation </w:t>
      </w:r>
      <w:r w:rsidR="000F4440">
        <w:rPr>
          <w:lang w:val="en-US"/>
        </w:rPr>
        <w:t xml:space="preserve">is touchier than the two others as it can be explained by 1°), 2°) or by a wrong choice of distribution to describe the data. </w:t>
      </w:r>
      <w:r w:rsidR="005F2E59">
        <w:rPr>
          <w:lang w:val="en-US"/>
        </w:rPr>
        <w:t xml:space="preserve">It can be identified by a large number of values detected as suspect or as outliers. </w:t>
      </w:r>
      <w:r w:rsidR="000F4440">
        <w:rPr>
          <w:lang w:val="en-US"/>
        </w:rPr>
        <w:t>When the chosen distribution does not fit the data</w:t>
      </w:r>
      <w:r w:rsidR="005F2E59">
        <w:rPr>
          <w:lang w:val="en-US"/>
        </w:rPr>
        <w:t>, it is</w:t>
      </w:r>
      <w:r w:rsidR="000F4440">
        <w:rPr>
          <w:lang w:val="en-US"/>
        </w:rPr>
        <w:t xml:space="preserve"> reasonable </w:t>
      </w:r>
      <w:r w:rsidR="005F2E59">
        <w:rPr>
          <w:lang w:val="en-US"/>
        </w:rPr>
        <w:t>to change the distribution not the data.</w:t>
      </w:r>
    </w:p>
    <w:p w:rsidR="00F307E6" w:rsidRDefault="005F2E59" w:rsidP="00FA59B7">
      <w:pPr>
        <w:ind w:firstLine="708"/>
        <w:jc w:val="both"/>
        <w:rPr>
          <w:lang w:val="en-US"/>
        </w:rPr>
      </w:pPr>
      <w:r>
        <w:rPr>
          <w:lang w:val="en-US"/>
        </w:rPr>
        <w:t xml:space="preserve">For this reason, </w:t>
      </w:r>
      <w:r w:rsidR="000F4440">
        <w:rPr>
          <w:lang w:val="en-US"/>
        </w:rPr>
        <w:t>we suggest</w:t>
      </w:r>
      <w:r>
        <w:rPr>
          <w:lang w:val="en-US"/>
        </w:rPr>
        <w:t xml:space="preserve"> </w:t>
      </w:r>
    </w:p>
    <w:p w:rsidR="00F307E6" w:rsidRDefault="005F2E59" w:rsidP="00FA59B7">
      <w:pPr>
        <w:numPr>
          <w:ilvl w:val="0"/>
          <w:numId w:val="4"/>
        </w:numPr>
        <w:jc w:val="both"/>
        <w:rPr>
          <w:lang w:val="en-US"/>
        </w:rPr>
      </w:pPr>
      <w:proofErr w:type="gramStart"/>
      <w:r>
        <w:rPr>
          <w:lang w:val="en-US"/>
        </w:rPr>
        <w:t>to</w:t>
      </w:r>
      <w:proofErr w:type="gramEnd"/>
      <w:r>
        <w:rPr>
          <w:lang w:val="en-US"/>
        </w:rPr>
        <w:t xml:space="preserve"> </w:t>
      </w:r>
      <w:r w:rsidR="00F307E6">
        <w:rPr>
          <w:lang w:val="en-US"/>
        </w:rPr>
        <w:t>use the robust method [</w:t>
      </w:r>
      <w:r w:rsidR="00313532">
        <w:rPr>
          <w:lang w:val="en-US"/>
        </w:rPr>
        <w:t>2</w:t>
      </w:r>
      <w:r w:rsidR="00F307E6">
        <w:rPr>
          <w:lang w:val="en-US"/>
        </w:rPr>
        <w:t>] described hereafter that is less sensitive to the shape of the chosen distribution.</w:t>
      </w:r>
    </w:p>
    <w:p w:rsidR="005F2E59" w:rsidRDefault="005F2E59" w:rsidP="00FA59B7">
      <w:pPr>
        <w:numPr>
          <w:ilvl w:val="0"/>
          <w:numId w:val="4"/>
        </w:numPr>
        <w:jc w:val="both"/>
        <w:rPr>
          <w:lang w:val="en-US"/>
        </w:rPr>
      </w:pPr>
      <w:proofErr w:type="gramStart"/>
      <w:r>
        <w:rPr>
          <w:lang w:val="en-US"/>
        </w:rPr>
        <w:t>to</w:t>
      </w:r>
      <w:proofErr w:type="gramEnd"/>
      <w:r>
        <w:rPr>
          <w:lang w:val="en-US"/>
        </w:rPr>
        <w:t xml:space="preserve"> compute the reference interval </w:t>
      </w:r>
      <w:r w:rsidR="00F307E6">
        <w:rPr>
          <w:lang w:val="en-US"/>
        </w:rPr>
        <w:t xml:space="preserve">after removing these data and to compare the reference intervals obtained with and without the </w:t>
      </w:r>
      <w:r w:rsidR="000C6EB1">
        <w:rPr>
          <w:lang w:val="en-US"/>
        </w:rPr>
        <w:t>potential outliers</w:t>
      </w:r>
      <w:r w:rsidR="00F307E6">
        <w:rPr>
          <w:lang w:val="en-US"/>
        </w:rPr>
        <w:t xml:space="preserve">. </w:t>
      </w:r>
      <w:r>
        <w:rPr>
          <w:lang w:val="en-US"/>
        </w:rPr>
        <w:t>If the reference interval does not change too much then keeps this reference interval.</w:t>
      </w:r>
    </w:p>
    <w:p w:rsidR="00F307E6" w:rsidRDefault="00F307E6" w:rsidP="00FA59B7">
      <w:pPr>
        <w:numPr>
          <w:ilvl w:val="0"/>
          <w:numId w:val="4"/>
        </w:numPr>
        <w:jc w:val="both"/>
        <w:rPr>
          <w:lang w:val="en-US"/>
        </w:rPr>
      </w:pPr>
      <w:proofErr w:type="gramStart"/>
      <w:r>
        <w:rPr>
          <w:lang w:val="en-US"/>
        </w:rPr>
        <w:t>to</w:t>
      </w:r>
      <w:proofErr w:type="gramEnd"/>
      <w:r>
        <w:rPr>
          <w:lang w:val="en-US"/>
        </w:rPr>
        <w:t xml:space="preserve"> get more data (at least 120) so that the nonparametric method can be used. As we will see, the nonparametric method does not assume any specific shape for the </w:t>
      </w:r>
      <w:r w:rsidR="000C6EB1">
        <w:rPr>
          <w:lang w:val="en-US"/>
        </w:rPr>
        <w:t xml:space="preserve">data </w:t>
      </w:r>
      <w:r>
        <w:rPr>
          <w:lang w:val="en-US"/>
        </w:rPr>
        <w:t>distribution</w:t>
      </w:r>
      <w:r w:rsidR="000C6EB1">
        <w:rPr>
          <w:lang w:val="en-US"/>
        </w:rPr>
        <w:t>.</w:t>
      </w:r>
    </w:p>
    <w:p w:rsidR="00F307E6" w:rsidRDefault="00F307E6" w:rsidP="00FA59B7">
      <w:pPr>
        <w:numPr>
          <w:ilvl w:val="0"/>
          <w:numId w:val="4"/>
        </w:numPr>
        <w:jc w:val="both"/>
        <w:rPr>
          <w:lang w:val="en-US"/>
        </w:rPr>
      </w:pPr>
      <w:proofErr w:type="gramStart"/>
      <w:r>
        <w:rPr>
          <w:lang w:val="en-US"/>
        </w:rPr>
        <w:t>to</w:t>
      </w:r>
      <w:proofErr w:type="gramEnd"/>
      <w:r>
        <w:rPr>
          <w:lang w:val="en-US"/>
        </w:rPr>
        <w:t xml:space="preserve"> change the distribution. As the current version of this code does not propose other distributions, a solution is to consult your preferred statistician.</w:t>
      </w:r>
    </w:p>
    <w:p w:rsidR="005F2E59" w:rsidRDefault="005F2E59" w:rsidP="00FA59B7">
      <w:pPr>
        <w:jc w:val="both"/>
        <w:rPr>
          <w:lang w:val="en-US"/>
        </w:rPr>
      </w:pPr>
    </w:p>
    <w:p w:rsidR="00683B3E" w:rsidRDefault="00683B3E" w:rsidP="00FA59B7">
      <w:pPr>
        <w:jc w:val="both"/>
        <w:rPr>
          <w:lang w:val="en-US"/>
        </w:rPr>
      </w:pPr>
      <w:r>
        <w:rPr>
          <w:lang w:val="en-US"/>
        </w:rPr>
        <w:t xml:space="preserve">The three lines </w:t>
      </w:r>
      <w:r w:rsidRPr="00683B3E">
        <w:rPr>
          <w:lang w:val="en-US"/>
        </w:rPr>
        <w:t>Outliers Dixon</w:t>
      </w:r>
      <w:r>
        <w:rPr>
          <w:lang w:val="en-US"/>
        </w:rPr>
        <w:t xml:space="preserve">, </w:t>
      </w:r>
      <w:r w:rsidRPr="00683B3E">
        <w:rPr>
          <w:lang w:val="en-US"/>
        </w:rPr>
        <w:t xml:space="preserve">Outliers </w:t>
      </w:r>
      <w:proofErr w:type="spellStart"/>
      <w:r w:rsidRPr="00683B3E">
        <w:rPr>
          <w:lang w:val="en-US"/>
        </w:rPr>
        <w:t>Tukey</w:t>
      </w:r>
      <w:proofErr w:type="spellEnd"/>
      <w:r>
        <w:rPr>
          <w:lang w:val="en-US"/>
        </w:rPr>
        <w:t xml:space="preserve"> and </w:t>
      </w:r>
      <w:r w:rsidRPr="00683B3E">
        <w:rPr>
          <w:lang w:val="en-US"/>
        </w:rPr>
        <w:t xml:space="preserve">Suspect data </w:t>
      </w:r>
      <w:proofErr w:type="spellStart"/>
      <w:r w:rsidRPr="00683B3E">
        <w:rPr>
          <w:lang w:val="en-US"/>
        </w:rPr>
        <w:t>Tukey</w:t>
      </w:r>
      <w:proofErr w:type="spellEnd"/>
      <w:r>
        <w:rPr>
          <w:lang w:val="en-US"/>
        </w:rPr>
        <w:t xml:space="preserve"> should help </w:t>
      </w:r>
      <w:r w:rsidR="006A5E9F">
        <w:rPr>
          <w:lang w:val="en-US"/>
        </w:rPr>
        <w:t xml:space="preserve">you </w:t>
      </w:r>
      <w:r>
        <w:rPr>
          <w:lang w:val="en-US"/>
        </w:rPr>
        <w:t>to detect such values.</w:t>
      </w:r>
    </w:p>
    <w:p w:rsidR="000C6EB1" w:rsidRDefault="000C6EB1" w:rsidP="00FA59B7">
      <w:pPr>
        <w:jc w:val="both"/>
        <w:rPr>
          <w:lang w:val="en-US"/>
        </w:rPr>
      </w:pPr>
    </w:p>
    <w:p w:rsidR="00DD74E8" w:rsidRDefault="0021108E" w:rsidP="00FA59B7">
      <w:pPr>
        <w:jc w:val="both"/>
        <w:rPr>
          <w:lang w:val="en-US"/>
        </w:rPr>
      </w:pPr>
      <w:r>
        <w:rPr>
          <w:lang w:val="en-US"/>
        </w:rPr>
        <w:t xml:space="preserve">The row </w:t>
      </w:r>
      <w:r w:rsidR="00683B3E" w:rsidRPr="00683B3E">
        <w:rPr>
          <w:rFonts w:ascii="Arial" w:hAnsi="Arial" w:cs="Arial"/>
          <w:sz w:val="18"/>
          <w:szCs w:val="18"/>
          <w:lang w:val="en-GB"/>
        </w:rPr>
        <w:t xml:space="preserve">Outliers </w:t>
      </w:r>
      <w:r w:rsidR="00683B3E" w:rsidRPr="00683B3E">
        <w:rPr>
          <w:rFonts w:ascii="Constantia" w:hAnsi="Constantia" w:cs="Arial"/>
          <w:b/>
          <w:bCs/>
          <w:sz w:val="18"/>
          <w:szCs w:val="18"/>
          <w:lang w:val="en-GB"/>
        </w:rPr>
        <w:t>Dixon</w:t>
      </w:r>
      <w:r>
        <w:rPr>
          <w:lang w:val="en-US"/>
        </w:rPr>
        <w:t xml:space="preserve"> </w:t>
      </w:r>
      <w:r w:rsidR="00683B3E">
        <w:rPr>
          <w:lang w:val="en-US"/>
        </w:rPr>
        <w:t xml:space="preserve">gives the results of the tests for the minimum and the maximum values of the untransformed/Box-Cox transformed data. </w:t>
      </w:r>
      <w:r w:rsidR="006A5E9F">
        <w:rPr>
          <w:lang w:val="en-US"/>
        </w:rPr>
        <w:t>The corresponding cells table can contain Min, Max or Min/Max respectively meaning that the minimum, the maximum, both the minimum and the maximum values are outliers. When these cells are empty, the Dixon test did not detect that these values as outliers. This test is known to be rather insensitive.</w:t>
      </w:r>
    </w:p>
    <w:p w:rsidR="000C6EB1" w:rsidRPr="00934745" w:rsidRDefault="000C6EB1" w:rsidP="00FA59B7">
      <w:pPr>
        <w:jc w:val="both"/>
        <w:rPr>
          <w:lang w:val="en-US"/>
        </w:rPr>
      </w:pPr>
    </w:p>
    <w:p w:rsidR="00DD74E8" w:rsidRDefault="006A5E9F" w:rsidP="00FA59B7">
      <w:pPr>
        <w:jc w:val="both"/>
        <w:rPr>
          <w:lang w:val="en-US"/>
        </w:rPr>
      </w:pPr>
      <w:r>
        <w:rPr>
          <w:lang w:val="en-US"/>
        </w:rPr>
        <w:t xml:space="preserve">The rows </w:t>
      </w:r>
      <w:r w:rsidRPr="006A5E9F">
        <w:rPr>
          <w:rFonts w:ascii="Arial" w:hAnsi="Arial" w:cs="Arial"/>
          <w:sz w:val="18"/>
          <w:szCs w:val="18"/>
          <w:lang w:val="en-GB"/>
        </w:rPr>
        <w:t xml:space="preserve">Outliers </w:t>
      </w:r>
      <w:proofErr w:type="spellStart"/>
      <w:r w:rsidRPr="006A5E9F">
        <w:rPr>
          <w:rFonts w:ascii="Constantia" w:hAnsi="Constantia" w:cs="Arial"/>
          <w:b/>
          <w:bCs/>
          <w:sz w:val="18"/>
          <w:szCs w:val="18"/>
          <w:lang w:val="en-GB"/>
        </w:rPr>
        <w:t>Tukey</w:t>
      </w:r>
      <w:proofErr w:type="spellEnd"/>
      <w:r>
        <w:rPr>
          <w:lang w:val="en-US"/>
        </w:rPr>
        <w:t xml:space="preserve"> and </w:t>
      </w:r>
      <w:r w:rsidRPr="006A5E9F">
        <w:rPr>
          <w:rFonts w:ascii="Arial" w:hAnsi="Arial" w:cs="Arial"/>
          <w:sz w:val="18"/>
          <w:szCs w:val="18"/>
          <w:lang w:val="en-GB"/>
        </w:rPr>
        <w:t xml:space="preserve">Suspect data </w:t>
      </w:r>
      <w:proofErr w:type="spellStart"/>
      <w:r w:rsidRPr="006A5E9F">
        <w:rPr>
          <w:rFonts w:ascii="Constantia" w:hAnsi="Constantia" w:cs="Arial"/>
          <w:b/>
          <w:bCs/>
          <w:sz w:val="18"/>
          <w:szCs w:val="18"/>
          <w:lang w:val="en-GB"/>
        </w:rPr>
        <w:t>Tukey</w:t>
      </w:r>
      <w:proofErr w:type="spellEnd"/>
      <w:r>
        <w:rPr>
          <w:lang w:val="en-US"/>
        </w:rPr>
        <w:t xml:space="preserve"> respectively contain the number of outliers and suspect data identified using the </w:t>
      </w:r>
      <w:proofErr w:type="spellStart"/>
      <w:r>
        <w:rPr>
          <w:lang w:val="en-US"/>
        </w:rPr>
        <w:t>Tukey</w:t>
      </w:r>
      <w:proofErr w:type="spellEnd"/>
      <w:r>
        <w:rPr>
          <w:lang w:val="en-US"/>
        </w:rPr>
        <w:t xml:space="preserve"> method</w:t>
      </w:r>
      <w:r w:rsidR="00A6596F">
        <w:rPr>
          <w:lang w:val="en-US"/>
        </w:rPr>
        <w:t xml:space="preserve"> [3]</w:t>
      </w:r>
      <w:r>
        <w:rPr>
          <w:lang w:val="en-US"/>
        </w:rPr>
        <w:t>.</w:t>
      </w:r>
    </w:p>
    <w:p w:rsidR="006A5E9F" w:rsidRPr="00A6596F" w:rsidRDefault="000C6EB1" w:rsidP="00FA59B7">
      <w:pPr>
        <w:jc w:val="both"/>
        <w:rPr>
          <w:lang w:val="en-GB"/>
        </w:rPr>
      </w:pPr>
      <w:proofErr w:type="spellStart"/>
      <w:r>
        <w:rPr>
          <w:lang w:val="en-US"/>
        </w:rPr>
        <w:t>Tukey</w:t>
      </w:r>
      <w:proofErr w:type="spellEnd"/>
      <w:r>
        <w:rPr>
          <w:lang w:val="en-US"/>
        </w:rPr>
        <w:t xml:space="preserve"> </w:t>
      </w:r>
      <w:r w:rsidR="00A6596F">
        <w:rPr>
          <w:lang w:val="en-US"/>
        </w:rPr>
        <w:t xml:space="preserve">differentiated </w:t>
      </w:r>
      <w:r w:rsidR="00A6596F" w:rsidRPr="00A6596F">
        <w:rPr>
          <w:lang w:val="en-GB"/>
        </w:rPr>
        <w:t>"mild" and "extreme" outliers</w:t>
      </w:r>
      <w:r w:rsidR="00A6596F">
        <w:rPr>
          <w:lang w:val="en-GB"/>
        </w:rPr>
        <w:t xml:space="preserve"> that we here respectively named suspect and outliers</w:t>
      </w:r>
      <w:r w:rsidR="007D2978" w:rsidRPr="007D2978">
        <w:rPr>
          <w:lang w:val="en-GB"/>
        </w:rPr>
        <w:t xml:space="preserve"> </w:t>
      </w:r>
      <w:r w:rsidR="007D2978">
        <w:rPr>
          <w:lang w:val="en-GB"/>
        </w:rPr>
        <w:t>data</w:t>
      </w:r>
      <w:r w:rsidR="00A6596F">
        <w:rPr>
          <w:lang w:val="en-GB"/>
        </w:rPr>
        <w:t>.</w:t>
      </w:r>
    </w:p>
    <w:p w:rsidR="00A6596F" w:rsidRPr="00934745" w:rsidRDefault="00A6596F" w:rsidP="00FA59B7">
      <w:pPr>
        <w:jc w:val="both"/>
        <w:rPr>
          <w:lang w:val="en-US"/>
        </w:rPr>
      </w:pPr>
      <w:r>
        <w:rPr>
          <w:lang w:val="en-US"/>
        </w:rPr>
        <w:t>If Q1, Q2, Q3 respectively represent the first, second and third quartiles of the distribution and IQ=Q3-Q1 is the inter-quartile range,</w:t>
      </w:r>
      <w:r w:rsidR="00B11478">
        <w:rPr>
          <w:lang w:val="en-US"/>
        </w:rPr>
        <w:t xml:space="preserve"> </w:t>
      </w:r>
      <w:r w:rsidR="00B11478">
        <w:rPr>
          <w:lang w:val="en-GB"/>
        </w:rPr>
        <w:t>o</w:t>
      </w:r>
      <w:r>
        <w:rPr>
          <w:lang w:val="en-GB"/>
        </w:rPr>
        <w:t xml:space="preserve">utliers are data </w:t>
      </w:r>
      <w:r w:rsidR="00093145">
        <w:rPr>
          <w:lang w:val="en-GB"/>
        </w:rPr>
        <w:t>smaller</w:t>
      </w:r>
      <w:r>
        <w:rPr>
          <w:lang w:val="en-GB"/>
        </w:rPr>
        <w:t xml:space="preserve"> than Q1-3 IQ or greater than Q3+3*IQ</w:t>
      </w:r>
      <w:r w:rsidR="00B11478">
        <w:rPr>
          <w:lang w:val="en-GB"/>
        </w:rPr>
        <w:t xml:space="preserve"> and suspect</w:t>
      </w:r>
      <w:r>
        <w:rPr>
          <w:lang w:val="en-GB"/>
        </w:rPr>
        <w:t xml:space="preserve"> data are data contained in the interval [Q1-3 IQ; Q1-1.5 IQ] or in [Q3+1.5*</w:t>
      </w:r>
      <w:proofErr w:type="gramStart"/>
      <w:r>
        <w:rPr>
          <w:lang w:val="en-GB"/>
        </w:rPr>
        <w:t>IQ ;</w:t>
      </w:r>
      <w:proofErr w:type="gramEnd"/>
      <w:r>
        <w:rPr>
          <w:lang w:val="en-GB"/>
        </w:rPr>
        <w:t xml:space="preserve"> Q3+3*IQ].</w:t>
      </w:r>
    </w:p>
    <w:p w:rsidR="00DD74E8" w:rsidRDefault="002474EA" w:rsidP="00FA59B7">
      <w:pPr>
        <w:jc w:val="both"/>
        <w:rPr>
          <w:lang w:val="en-US"/>
        </w:rPr>
      </w:pPr>
      <w:r>
        <w:rPr>
          <w:lang w:val="en-US"/>
        </w:rPr>
        <w:t>The suspect data and the outliers are</w:t>
      </w:r>
      <w:r w:rsidR="003275DC">
        <w:rPr>
          <w:lang w:val="en-US"/>
        </w:rPr>
        <w:t xml:space="preserve"> respectively</w:t>
      </w:r>
      <w:r>
        <w:rPr>
          <w:lang w:val="en-US"/>
        </w:rPr>
        <w:t xml:space="preserve"> written in orange </w:t>
      </w:r>
      <w:r w:rsidR="00660866">
        <w:rPr>
          <w:lang w:val="en-US"/>
        </w:rPr>
        <w:t xml:space="preserve">and </w:t>
      </w:r>
      <w:r>
        <w:rPr>
          <w:lang w:val="en-US"/>
        </w:rPr>
        <w:t>red cell</w:t>
      </w:r>
      <w:r w:rsidR="00660866">
        <w:rPr>
          <w:lang w:val="en-US"/>
        </w:rPr>
        <w:t>s</w:t>
      </w:r>
      <w:r>
        <w:rPr>
          <w:lang w:val="en-US"/>
        </w:rPr>
        <w:t xml:space="preserve"> in the spreadsheet named "</w:t>
      </w:r>
      <w:r w:rsidR="00364E8F">
        <w:rPr>
          <w:lang w:val="en-US"/>
        </w:rPr>
        <w:t>O</w:t>
      </w:r>
      <w:r>
        <w:rPr>
          <w:lang w:val="en-US"/>
        </w:rPr>
        <w:t>utliers analysis"</w:t>
      </w:r>
      <w:r w:rsidR="005329F1">
        <w:rPr>
          <w:lang w:val="en-US"/>
        </w:rPr>
        <w:t xml:space="preserve"> represented hereafter</w:t>
      </w:r>
      <w:r>
        <w:rPr>
          <w:lang w:val="en-US"/>
        </w:rPr>
        <w:t>.</w:t>
      </w:r>
    </w:p>
    <w:p w:rsidR="002474EA" w:rsidRPr="00934745" w:rsidRDefault="002474EA">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934745" w:rsidRDefault="00DD74E8">
      <w:pPr>
        <w:rPr>
          <w:lang w:val="en-US"/>
        </w:rPr>
      </w:pPr>
    </w:p>
    <w:p w:rsidR="00DD74E8" w:rsidRPr="00054B30" w:rsidRDefault="00DD74E8">
      <w:pPr>
        <w:rPr>
          <w:lang w:val="en-GB"/>
        </w:rPr>
      </w:pPr>
    </w:p>
    <w:p w:rsidR="00DD74E8" w:rsidRPr="00DD74E8" w:rsidRDefault="00DD74E8">
      <w:pPr>
        <w:rPr>
          <w:lang w:val="en-GB"/>
        </w:rPr>
      </w:pPr>
    </w:p>
    <w:p w:rsidR="00A6729A" w:rsidRDefault="00A6729A" w:rsidP="00A6729A">
      <w:pPr>
        <w:rPr>
          <w:lang w:val="en-GB"/>
        </w:rPr>
      </w:pPr>
      <w:r>
        <w:rPr>
          <w:lang w:val="en-GB"/>
        </w:rPr>
        <w:t>References</w:t>
      </w:r>
    </w:p>
    <w:p w:rsidR="00A6729A" w:rsidRDefault="00A6729A" w:rsidP="00A6729A">
      <w:pPr>
        <w:numPr>
          <w:ilvl w:val="0"/>
          <w:numId w:val="1"/>
        </w:numPr>
        <w:spacing w:line="480" w:lineRule="auto"/>
        <w:jc w:val="both"/>
        <w:rPr>
          <w:lang w:val="en-GB"/>
        </w:rPr>
      </w:pPr>
      <w:r w:rsidRPr="00417CD1">
        <w:rPr>
          <w:lang w:val="en-GB"/>
        </w:rPr>
        <w:t>CLSI. Defining, establishing, and verifying reference intervals in the clinical laboratory; approved guideline. Third ed. Wayne, PA: CLSI</w:t>
      </w:r>
      <w:r>
        <w:rPr>
          <w:lang w:val="en-GB"/>
        </w:rPr>
        <w:t>,</w:t>
      </w:r>
      <w:r w:rsidRPr="00417CD1">
        <w:rPr>
          <w:lang w:val="en-GB"/>
        </w:rPr>
        <w:t xml:space="preserve"> 2008.</w:t>
      </w:r>
    </w:p>
    <w:p w:rsidR="00A6596F" w:rsidRPr="00A6596F" w:rsidRDefault="00A6729A" w:rsidP="00A6596F">
      <w:pPr>
        <w:numPr>
          <w:ilvl w:val="0"/>
          <w:numId w:val="1"/>
        </w:numPr>
        <w:spacing w:line="480" w:lineRule="auto"/>
        <w:jc w:val="both"/>
        <w:rPr>
          <w:lang w:val="en-GB"/>
        </w:rPr>
      </w:pPr>
      <w:r w:rsidRPr="00F9487E">
        <w:rPr>
          <w:lang w:val="en-GB"/>
        </w:rPr>
        <w:t xml:space="preserve">Horn PS. A </w:t>
      </w:r>
      <w:proofErr w:type="spellStart"/>
      <w:r w:rsidRPr="00F9487E">
        <w:rPr>
          <w:lang w:val="en-GB"/>
        </w:rPr>
        <w:t>biweight</w:t>
      </w:r>
      <w:proofErr w:type="spellEnd"/>
      <w:r w:rsidRPr="00F9487E">
        <w:rPr>
          <w:lang w:val="en-GB"/>
        </w:rPr>
        <w:t xml:space="preserve"> prediction interval for random samples. </w:t>
      </w:r>
      <w:r>
        <w:t xml:space="preserve">J Am Stat </w:t>
      </w:r>
      <w:proofErr w:type="spellStart"/>
      <w:r>
        <w:t>Assoc</w:t>
      </w:r>
      <w:proofErr w:type="spellEnd"/>
      <w:r>
        <w:t xml:space="preserve"> 1988;83:249-256.</w:t>
      </w:r>
    </w:p>
    <w:p w:rsidR="002E1ACF" w:rsidRPr="00A6596F" w:rsidRDefault="00A6596F" w:rsidP="00A6596F">
      <w:pPr>
        <w:numPr>
          <w:ilvl w:val="0"/>
          <w:numId w:val="1"/>
        </w:numPr>
        <w:spacing w:line="480" w:lineRule="auto"/>
        <w:jc w:val="both"/>
        <w:rPr>
          <w:lang w:val="en-GB"/>
        </w:rPr>
      </w:pPr>
      <w:r w:rsidRPr="00A6596F">
        <w:rPr>
          <w:lang w:val="en-GB"/>
        </w:rPr>
        <w:t xml:space="preserve">John W. </w:t>
      </w:r>
      <w:proofErr w:type="spellStart"/>
      <w:r w:rsidRPr="00A6596F">
        <w:rPr>
          <w:lang w:val="en-GB"/>
        </w:rPr>
        <w:t>Tukey</w:t>
      </w:r>
      <w:proofErr w:type="spellEnd"/>
      <w:r w:rsidRPr="00A6596F">
        <w:rPr>
          <w:lang w:val="en-GB"/>
        </w:rPr>
        <w:t>. "</w:t>
      </w:r>
      <w:r w:rsidRPr="00A6596F">
        <w:rPr>
          <w:i/>
          <w:iCs/>
          <w:lang w:val="en-GB"/>
        </w:rPr>
        <w:t>Exploratory Data Analysis</w:t>
      </w:r>
      <w:r w:rsidRPr="00A6596F">
        <w:rPr>
          <w:lang w:val="en-GB"/>
        </w:rPr>
        <w:t xml:space="preserve">". </w:t>
      </w:r>
      <w:hyperlink r:id="rId31" w:tooltip="Addison-Wesley" w:history="1">
        <w:r>
          <w:rPr>
            <w:rStyle w:val="Lienhypertexte"/>
          </w:rPr>
          <w:t>Addison-Wesley</w:t>
        </w:r>
      </w:hyperlink>
      <w:r>
        <w:t>, Reading, MA. 1977.</w:t>
      </w:r>
    </w:p>
    <w:p w:rsidR="000B1F48" w:rsidRPr="00A6596F" w:rsidRDefault="00B87B3D" w:rsidP="000B1F48">
      <w:pPr>
        <w:numPr>
          <w:ilvl w:val="0"/>
          <w:numId w:val="1"/>
        </w:numPr>
        <w:spacing w:line="480" w:lineRule="auto"/>
        <w:jc w:val="both"/>
        <w:rPr>
          <w:lang w:val="en-GB"/>
        </w:rPr>
      </w:pPr>
      <w:r w:rsidRPr="00B87B3D">
        <w:rPr>
          <w:sz w:val="23"/>
          <w:szCs w:val="23"/>
          <w:lang w:val="en-US"/>
        </w:rPr>
        <w:t>McW</w:t>
      </w:r>
      <w:r>
        <w:rPr>
          <w:sz w:val="23"/>
          <w:szCs w:val="23"/>
          <w:lang w:val="en-US"/>
        </w:rPr>
        <w:t>illiams TP</w:t>
      </w:r>
      <w:r w:rsidR="000B1F48" w:rsidRPr="00F9487E">
        <w:rPr>
          <w:lang w:val="en-GB"/>
        </w:rPr>
        <w:t xml:space="preserve">. </w:t>
      </w:r>
      <w:r w:rsidRPr="00B87B3D">
        <w:rPr>
          <w:lang w:val="en-US"/>
        </w:rPr>
        <w:t>A Distribution-Free Test for Symmetry Based on a Runs Statistic</w:t>
      </w:r>
      <w:r w:rsidR="000B1F48" w:rsidRPr="00F9487E">
        <w:rPr>
          <w:lang w:val="en-GB"/>
        </w:rPr>
        <w:t xml:space="preserve">. </w:t>
      </w:r>
      <w:r w:rsidR="000B1F48" w:rsidRPr="00B87B3D">
        <w:rPr>
          <w:lang w:val="en-US"/>
        </w:rPr>
        <w:t xml:space="preserve">J Am Stat </w:t>
      </w:r>
      <w:proofErr w:type="spellStart"/>
      <w:r w:rsidR="000B1F48" w:rsidRPr="00B87B3D">
        <w:rPr>
          <w:lang w:val="en-US"/>
        </w:rPr>
        <w:t>Assoc</w:t>
      </w:r>
      <w:proofErr w:type="spellEnd"/>
      <w:r w:rsidR="000B1F48" w:rsidRPr="00B87B3D">
        <w:rPr>
          <w:lang w:val="en-US"/>
        </w:rPr>
        <w:t xml:space="preserve"> 19</w:t>
      </w:r>
      <w:r>
        <w:rPr>
          <w:lang w:val="en-US"/>
        </w:rPr>
        <w:t>90</w:t>
      </w:r>
      <w:proofErr w:type="gramStart"/>
      <w:r w:rsidR="000B1F48" w:rsidRPr="00B87B3D">
        <w:rPr>
          <w:lang w:val="en-US"/>
        </w:rPr>
        <w:t>;8</w:t>
      </w:r>
      <w:r>
        <w:rPr>
          <w:lang w:val="en-US"/>
        </w:rPr>
        <w:t>5</w:t>
      </w:r>
      <w:r w:rsidR="000B1F48" w:rsidRPr="00B87B3D">
        <w:rPr>
          <w:lang w:val="en-US"/>
        </w:rPr>
        <w:t>:</w:t>
      </w:r>
      <w:r>
        <w:rPr>
          <w:lang w:val="en-US"/>
        </w:rPr>
        <w:t>1130</w:t>
      </w:r>
      <w:proofErr w:type="gramEnd"/>
      <w:r w:rsidR="000B1F48" w:rsidRPr="00B87B3D">
        <w:rPr>
          <w:lang w:val="en-US"/>
        </w:rPr>
        <w:t>-</w:t>
      </w:r>
      <w:r>
        <w:rPr>
          <w:lang w:val="en-US"/>
        </w:rPr>
        <w:t>1133</w:t>
      </w:r>
      <w:r w:rsidR="000B1F48" w:rsidRPr="00B87B3D">
        <w:rPr>
          <w:lang w:val="en-US"/>
        </w:rPr>
        <w:t>.</w:t>
      </w:r>
    </w:p>
    <w:p w:rsidR="00A6596F" w:rsidRPr="00062898" w:rsidRDefault="00A6596F" w:rsidP="00524378">
      <w:pPr>
        <w:spacing w:line="480" w:lineRule="auto"/>
        <w:ind w:left="360"/>
        <w:jc w:val="both"/>
        <w:rPr>
          <w:lang w:val="en-GB"/>
        </w:rPr>
      </w:pPr>
    </w:p>
    <w:sectPr w:rsidR="00A6596F" w:rsidRPr="00062898" w:rsidSect="007571B7">
      <w:footerReference w:type="even" r:id="rId32"/>
      <w:footerReference w:type="default" r:id="rId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12D" w:rsidRDefault="004D112D">
      <w:r>
        <w:separator/>
      </w:r>
    </w:p>
  </w:endnote>
  <w:endnote w:type="continuationSeparator" w:id="0">
    <w:p w:rsidR="004D112D" w:rsidRDefault="004D1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821" w:rsidRDefault="005D6821" w:rsidP="00CC61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5D6821" w:rsidRDefault="005D6821" w:rsidP="007571B7">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821" w:rsidRDefault="005D6821" w:rsidP="00CC61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D1111">
      <w:rPr>
        <w:rStyle w:val="Numrodepage"/>
        <w:noProof/>
      </w:rPr>
      <w:t>6</w:t>
    </w:r>
    <w:r>
      <w:rPr>
        <w:rStyle w:val="Numrodepage"/>
      </w:rPr>
      <w:fldChar w:fldCharType="end"/>
    </w:r>
  </w:p>
  <w:p w:rsidR="005D6821" w:rsidRDefault="005D6821" w:rsidP="007571B7">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12D" w:rsidRDefault="004D112D">
      <w:r>
        <w:separator/>
      </w:r>
    </w:p>
  </w:footnote>
  <w:footnote w:type="continuationSeparator" w:id="0">
    <w:p w:rsidR="004D112D" w:rsidRDefault="004D11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14761"/>
    <w:multiLevelType w:val="hybridMultilevel"/>
    <w:tmpl w:val="8F0AF808"/>
    <w:lvl w:ilvl="0" w:tplc="F3EE7CDC">
      <w:start w:val="1"/>
      <w:numFmt w:val="lowerLetter"/>
      <w:lvlText w:val="%1)"/>
      <w:lvlJc w:val="left"/>
      <w:pPr>
        <w:tabs>
          <w:tab w:val="num" w:pos="1653"/>
        </w:tabs>
        <w:ind w:left="1653" w:hanging="945"/>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
    <w:nsid w:val="26653780"/>
    <w:multiLevelType w:val="hybridMultilevel"/>
    <w:tmpl w:val="C7FCA28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4EAD10BC"/>
    <w:multiLevelType w:val="hybridMultilevel"/>
    <w:tmpl w:val="52224052"/>
    <w:lvl w:ilvl="0" w:tplc="02E66C76">
      <w:start w:val="1"/>
      <w:numFmt w:val="lowerLetter"/>
      <w:lvlText w:val="%1)"/>
      <w:lvlJc w:val="left"/>
      <w:pPr>
        <w:tabs>
          <w:tab w:val="num" w:pos="1653"/>
        </w:tabs>
        <w:ind w:left="1653" w:hanging="945"/>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3">
    <w:nsid w:val="6F903EB0"/>
    <w:multiLevelType w:val="hybridMultilevel"/>
    <w:tmpl w:val="280007E8"/>
    <w:lvl w:ilvl="0" w:tplc="B2CA9D52">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719356B2"/>
    <w:multiLevelType w:val="hybridMultilevel"/>
    <w:tmpl w:val="3B56D71E"/>
    <w:lvl w:ilvl="0" w:tplc="5F8272A2">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418"/>
    <w:rsid w:val="00000AC7"/>
    <w:rsid w:val="00017BEA"/>
    <w:rsid w:val="0002546D"/>
    <w:rsid w:val="00054B30"/>
    <w:rsid w:val="00062898"/>
    <w:rsid w:val="0008717C"/>
    <w:rsid w:val="000878DF"/>
    <w:rsid w:val="00091904"/>
    <w:rsid w:val="00093145"/>
    <w:rsid w:val="000A3A94"/>
    <w:rsid w:val="000B1F48"/>
    <w:rsid w:val="000C5D02"/>
    <w:rsid w:val="000C6EB1"/>
    <w:rsid w:val="000D0156"/>
    <w:rsid w:val="000F4440"/>
    <w:rsid w:val="00112073"/>
    <w:rsid w:val="00113AB9"/>
    <w:rsid w:val="0012415D"/>
    <w:rsid w:val="001401DE"/>
    <w:rsid w:val="001748BA"/>
    <w:rsid w:val="00181654"/>
    <w:rsid w:val="001B7BF2"/>
    <w:rsid w:val="0021108E"/>
    <w:rsid w:val="00213F61"/>
    <w:rsid w:val="002474EA"/>
    <w:rsid w:val="00252D1E"/>
    <w:rsid w:val="0026374A"/>
    <w:rsid w:val="00266C97"/>
    <w:rsid w:val="00266E51"/>
    <w:rsid w:val="00291F98"/>
    <w:rsid w:val="002A7355"/>
    <w:rsid w:val="002B352A"/>
    <w:rsid w:val="002E1ACF"/>
    <w:rsid w:val="0031105B"/>
    <w:rsid w:val="00313532"/>
    <w:rsid w:val="003275DC"/>
    <w:rsid w:val="00364E8F"/>
    <w:rsid w:val="00370A0D"/>
    <w:rsid w:val="003A1A7F"/>
    <w:rsid w:val="003A2204"/>
    <w:rsid w:val="003C04C2"/>
    <w:rsid w:val="003D5B40"/>
    <w:rsid w:val="003E5FAB"/>
    <w:rsid w:val="00415F51"/>
    <w:rsid w:val="004601E7"/>
    <w:rsid w:val="0046565B"/>
    <w:rsid w:val="004B1526"/>
    <w:rsid w:val="004B78F1"/>
    <w:rsid w:val="004D1111"/>
    <w:rsid w:val="004D112D"/>
    <w:rsid w:val="004E3E5D"/>
    <w:rsid w:val="00524378"/>
    <w:rsid w:val="00524A8C"/>
    <w:rsid w:val="005329F1"/>
    <w:rsid w:val="0053608F"/>
    <w:rsid w:val="005430F9"/>
    <w:rsid w:val="00546A90"/>
    <w:rsid w:val="0055410F"/>
    <w:rsid w:val="005C4758"/>
    <w:rsid w:val="005D6821"/>
    <w:rsid w:val="005E1184"/>
    <w:rsid w:val="005E6E88"/>
    <w:rsid w:val="005F2E59"/>
    <w:rsid w:val="00607C77"/>
    <w:rsid w:val="00625CE3"/>
    <w:rsid w:val="00642F7F"/>
    <w:rsid w:val="00660866"/>
    <w:rsid w:val="00680697"/>
    <w:rsid w:val="00683B3E"/>
    <w:rsid w:val="006A5E9F"/>
    <w:rsid w:val="00717603"/>
    <w:rsid w:val="007571B7"/>
    <w:rsid w:val="00762BB7"/>
    <w:rsid w:val="007648BF"/>
    <w:rsid w:val="007A5074"/>
    <w:rsid w:val="007D2978"/>
    <w:rsid w:val="007E0567"/>
    <w:rsid w:val="00821509"/>
    <w:rsid w:val="008322C4"/>
    <w:rsid w:val="00846CAE"/>
    <w:rsid w:val="00854CAF"/>
    <w:rsid w:val="0086729C"/>
    <w:rsid w:val="00877228"/>
    <w:rsid w:val="008A3EB4"/>
    <w:rsid w:val="008A5164"/>
    <w:rsid w:val="008B3322"/>
    <w:rsid w:val="008C0CD8"/>
    <w:rsid w:val="00912D18"/>
    <w:rsid w:val="00921BBD"/>
    <w:rsid w:val="00934745"/>
    <w:rsid w:val="00945592"/>
    <w:rsid w:val="00963418"/>
    <w:rsid w:val="00976E64"/>
    <w:rsid w:val="0098424E"/>
    <w:rsid w:val="00A21211"/>
    <w:rsid w:val="00A6596F"/>
    <w:rsid w:val="00A6729A"/>
    <w:rsid w:val="00A85DC4"/>
    <w:rsid w:val="00AD1233"/>
    <w:rsid w:val="00B11478"/>
    <w:rsid w:val="00B22FF3"/>
    <w:rsid w:val="00B87B3D"/>
    <w:rsid w:val="00B93519"/>
    <w:rsid w:val="00BC2096"/>
    <w:rsid w:val="00BD372E"/>
    <w:rsid w:val="00BD546B"/>
    <w:rsid w:val="00C004EC"/>
    <w:rsid w:val="00C0372F"/>
    <w:rsid w:val="00C277C4"/>
    <w:rsid w:val="00C50586"/>
    <w:rsid w:val="00C561B2"/>
    <w:rsid w:val="00C74D97"/>
    <w:rsid w:val="00C9174E"/>
    <w:rsid w:val="00CB247B"/>
    <w:rsid w:val="00CC61B0"/>
    <w:rsid w:val="00D01BFE"/>
    <w:rsid w:val="00D52EE9"/>
    <w:rsid w:val="00D57C9D"/>
    <w:rsid w:val="00D9739B"/>
    <w:rsid w:val="00DA2B26"/>
    <w:rsid w:val="00DC2989"/>
    <w:rsid w:val="00DD74E8"/>
    <w:rsid w:val="00DE292F"/>
    <w:rsid w:val="00E67815"/>
    <w:rsid w:val="00EC1CEF"/>
    <w:rsid w:val="00ED7A3E"/>
    <w:rsid w:val="00EE4BDC"/>
    <w:rsid w:val="00EF02DB"/>
    <w:rsid w:val="00F03EFD"/>
    <w:rsid w:val="00F307E6"/>
    <w:rsid w:val="00F53266"/>
    <w:rsid w:val="00F717EC"/>
    <w:rsid w:val="00FA59B7"/>
    <w:rsid w:val="00FC0C8B"/>
    <w:rsid w:val="00FD12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F48"/>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7571B7"/>
    <w:pPr>
      <w:tabs>
        <w:tab w:val="center" w:pos="4536"/>
        <w:tab w:val="right" w:pos="9072"/>
      </w:tabs>
    </w:pPr>
  </w:style>
  <w:style w:type="character" w:styleId="Numrodepage">
    <w:name w:val="page number"/>
    <w:basedOn w:val="Policepardfaut"/>
    <w:rsid w:val="007571B7"/>
  </w:style>
  <w:style w:type="character" w:styleId="Lienhypertexte">
    <w:name w:val="Hyperlink"/>
    <w:rsid w:val="00A6596F"/>
    <w:rPr>
      <w:color w:val="0000FF"/>
      <w:u w:val="single"/>
    </w:rPr>
  </w:style>
  <w:style w:type="paragraph" w:styleId="Textedebulles">
    <w:name w:val="Balloon Text"/>
    <w:basedOn w:val="Normal"/>
    <w:link w:val="TextedebullesCar"/>
    <w:rsid w:val="004D1111"/>
    <w:rPr>
      <w:rFonts w:ascii="Tahoma" w:hAnsi="Tahoma" w:cs="Tahoma"/>
      <w:sz w:val="16"/>
      <w:szCs w:val="16"/>
    </w:rPr>
  </w:style>
  <w:style w:type="character" w:customStyle="1" w:styleId="TextedebullesCar">
    <w:name w:val="Texte de bulles Car"/>
    <w:basedOn w:val="Policepardfaut"/>
    <w:link w:val="Textedebulles"/>
    <w:rsid w:val="004D11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F48"/>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7571B7"/>
    <w:pPr>
      <w:tabs>
        <w:tab w:val="center" w:pos="4536"/>
        <w:tab w:val="right" w:pos="9072"/>
      </w:tabs>
    </w:pPr>
  </w:style>
  <w:style w:type="character" w:styleId="Numrodepage">
    <w:name w:val="page number"/>
    <w:basedOn w:val="Policepardfaut"/>
    <w:rsid w:val="007571B7"/>
  </w:style>
  <w:style w:type="character" w:styleId="Lienhypertexte">
    <w:name w:val="Hyperlink"/>
    <w:rsid w:val="00A6596F"/>
    <w:rPr>
      <w:color w:val="0000FF"/>
      <w:u w:val="single"/>
    </w:rPr>
  </w:style>
  <w:style w:type="paragraph" w:styleId="Textedebulles">
    <w:name w:val="Balloon Text"/>
    <w:basedOn w:val="Normal"/>
    <w:link w:val="TextedebullesCar"/>
    <w:rsid w:val="004D1111"/>
    <w:rPr>
      <w:rFonts w:ascii="Tahoma" w:hAnsi="Tahoma" w:cs="Tahoma"/>
      <w:sz w:val="16"/>
      <w:szCs w:val="16"/>
    </w:rPr>
  </w:style>
  <w:style w:type="character" w:customStyle="1" w:styleId="TextedebullesCar">
    <w:name w:val="Texte de bulles Car"/>
    <w:basedOn w:val="Policepardfaut"/>
    <w:link w:val="Textedebulles"/>
    <w:rsid w:val="004D1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15514">
      <w:bodyDiv w:val="1"/>
      <w:marLeft w:val="0"/>
      <w:marRight w:val="0"/>
      <w:marTop w:val="0"/>
      <w:marBottom w:val="0"/>
      <w:divBdr>
        <w:top w:val="none" w:sz="0" w:space="0" w:color="auto"/>
        <w:left w:val="none" w:sz="0" w:space="0" w:color="auto"/>
        <w:bottom w:val="none" w:sz="0" w:space="0" w:color="auto"/>
        <w:right w:val="none" w:sz="0" w:space="0" w:color="auto"/>
      </w:divBdr>
    </w:div>
    <w:div w:id="453207728">
      <w:bodyDiv w:val="1"/>
      <w:marLeft w:val="0"/>
      <w:marRight w:val="0"/>
      <w:marTop w:val="0"/>
      <w:marBottom w:val="0"/>
      <w:divBdr>
        <w:top w:val="none" w:sz="0" w:space="0" w:color="auto"/>
        <w:left w:val="none" w:sz="0" w:space="0" w:color="auto"/>
        <w:bottom w:val="none" w:sz="0" w:space="0" w:color="auto"/>
        <w:right w:val="none" w:sz="0" w:space="0" w:color="auto"/>
      </w:divBdr>
    </w:div>
    <w:div w:id="979964922">
      <w:bodyDiv w:val="1"/>
      <w:marLeft w:val="0"/>
      <w:marRight w:val="0"/>
      <w:marTop w:val="0"/>
      <w:marBottom w:val="0"/>
      <w:divBdr>
        <w:top w:val="none" w:sz="0" w:space="0" w:color="auto"/>
        <w:left w:val="none" w:sz="0" w:space="0" w:color="auto"/>
        <w:bottom w:val="none" w:sz="0" w:space="0" w:color="auto"/>
        <w:right w:val="none" w:sz="0" w:space="0" w:color="auto"/>
      </w:divBdr>
    </w:div>
    <w:div w:id="1855225173">
      <w:bodyDiv w:val="1"/>
      <w:marLeft w:val="0"/>
      <w:marRight w:val="0"/>
      <w:marTop w:val="0"/>
      <w:marBottom w:val="0"/>
      <w:divBdr>
        <w:top w:val="none" w:sz="0" w:space="0" w:color="auto"/>
        <w:left w:val="none" w:sz="0" w:space="0" w:color="auto"/>
        <w:bottom w:val="none" w:sz="0" w:space="0" w:color="auto"/>
        <w:right w:val="none" w:sz="0" w:space="0" w:color="auto"/>
      </w:divBdr>
    </w:div>
    <w:div w:id="210209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oleObject" Target="embeddings/oleObject4.bin"/><Relationship Id="rId26" Type="http://schemas.openxmlformats.org/officeDocument/2006/relationships/image" Target="media/image11.wmf"/><Relationship Id="rId3" Type="http://schemas.microsoft.com/office/2007/relationships/stylesWithEffects" Target="stylesWithEffects.xml"/><Relationship Id="rId21" Type="http://schemas.openxmlformats.org/officeDocument/2006/relationships/image" Target="media/image9.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oleObject" Target="embeddings/oleObject8.bin"/><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0.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oleObject" Target="embeddings/oleObject7.bin"/><Relationship Id="rId28" Type="http://schemas.openxmlformats.org/officeDocument/2006/relationships/oleObject" Target="embeddings/oleObject10.bin"/><Relationship Id="rId10" Type="http://schemas.openxmlformats.org/officeDocument/2006/relationships/image" Target="media/image3.emf"/><Relationship Id="rId19" Type="http://schemas.openxmlformats.org/officeDocument/2006/relationships/image" Target="media/image8.wmf"/><Relationship Id="rId31" Type="http://schemas.openxmlformats.org/officeDocument/2006/relationships/hyperlink" Target="http://en.wikipedia.org/wiki/Addison-Wesle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oleObject" Target="embeddings/oleObject11.bin"/><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1668</Words>
  <Characters>9175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Installation Guide</vt:lpstr>
    </vt:vector>
  </TitlesOfParts>
  <Company>ENVT</Company>
  <LinksUpToDate>false</LinksUpToDate>
  <CharactersWithSpaces>10822</CharactersWithSpaces>
  <SharedDoc>false</SharedDoc>
  <HLinks>
    <vt:vector size="6" baseType="variant">
      <vt:variant>
        <vt:i4>6684787</vt:i4>
      </vt:variant>
      <vt:variant>
        <vt:i4>33</vt:i4>
      </vt:variant>
      <vt:variant>
        <vt:i4>0</vt:i4>
      </vt:variant>
      <vt:variant>
        <vt:i4>5</vt:i4>
      </vt:variant>
      <vt:variant>
        <vt:lpwstr>http://en.wikipedia.org/wiki/Addison-Wesley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Guide</dc:title>
  <dc:subject/>
  <dc:creator>Didier CONCORDET</dc:creator>
  <cp:keywords/>
  <dc:description/>
  <cp:lastModifiedBy>Didier CONCORDET</cp:lastModifiedBy>
  <cp:revision>3</cp:revision>
  <dcterms:created xsi:type="dcterms:W3CDTF">2011-11-30T07:47:00Z</dcterms:created>
  <dcterms:modified xsi:type="dcterms:W3CDTF">2011-11-30T07:47:00Z</dcterms:modified>
</cp:coreProperties>
</file>